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2:52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Horse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Federal Claims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17-1776C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Claims LEXIS 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LAVERN CHARLES FAST HORSE, Plaintiff, v. THE UNITED STATES OF AMERICA, Defendant.</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damages</w:t>
      </w:r>
    </w:p>
    <w:p>
      <w:pPr>
        <w:keepNext/>
        <w:widowControl w:val="0"/>
        <w:spacing w:before="240" w:after="0" w:line="340" w:lineRule="atLeast"/>
        <w:ind w:left="0" w:right="0" w:firstLine="0"/>
        <w:jc w:val="left"/>
      </w:pPr>
      <w:bookmarkStart w:id="5" w:name="Headnotes/Syllabus"/>
      <w:bookmarkEnd w:id="5"/>
      <w:r>
        <w:rPr>
          <w:rFonts w:ascii="arial" w:eastAsia="arial" w:hAnsi="arial" w:cs="arial"/>
          <w:b/>
          <w:i w:val="0"/>
          <w:strike w:val="0"/>
          <w:noProof w:val="0"/>
          <w:color w:val="000000"/>
          <w:position w:val="0"/>
          <w:sz w:val="28"/>
          <w:u w:val="none"/>
          <w:vertAlign w:val="baseline"/>
        </w:rPr>
        <w:t>Headnotes/Syllabus</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Headnotes"/>
      <w:bookmarkEnd w:id="6"/>
      <w:r>
        <w:rPr>
          <w:rFonts w:ascii="arial" w:eastAsia="arial" w:hAnsi="arial" w:cs="arial"/>
          <w:b/>
          <w:i w:val="0"/>
          <w:strike w:val="0"/>
          <w:noProof w:val="0"/>
          <w:color w:val="000000"/>
          <w:position w:val="0"/>
          <w:sz w:val="20"/>
          <w:u w:val="none"/>
          <w:vertAlign w:val="baseline"/>
        </w:rPr>
        <w:t>Headnotes</w:t>
      </w:r>
    </w:p>
    <w:p>
      <w:pPr>
        <w:keepNext w:val="0"/>
        <w:widowControl w:val="0"/>
        <w:spacing w:before="240" w:after="0" w:line="260" w:lineRule="atLeast"/>
        <w:ind w:left="0" w:right="0" w:firstLine="0"/>
        <w:jc w:val="both"/>
      </w:pPr>
      <w:bookmarkStart w:id="7" w:name="Bookmark_hnpara_1"/>
      <w:bookmarkEnd w:id="7"/>
      <w:r>
        <w:rPr>
          <w:rFonts w:ascii="arial" w:eastAsia="arial" w:hAnsi="arial" w:cs="arial"/>
          <w:b w:val="0"/>
          <w:i w:val="0"/>
          <w:strike w:val="0"/>
          <w:noProof w:val="0"/>
          <w:color w:val="000000"/>
          <w:position w:val="0"/>
          <w:sz w:val="20"/>
          <w:u w:val="none"/>
          <w:vertAlign w:val="baseline"/>
        </w:rPr>
        <w:t xml:space="preserve">Keywords: Pro Se Plaintiff; Subject Matter Jurisdiction;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RICO.</w:t>
      </w:r>
    </w:p>
    <w:p>
      <w:pPr>
        <w:keepNext w:val="0"/>
        <w:widowControl w:val="0"/>
        <w:spacing w:before="240" w:after="0" w:line="260" w:lineRule="atLeast"/>
        <w:ind w:left="0" w:right="0" w:firstLine="0"/>
        <w:jc w:val="left"/>
      </w:pPr>
      <w:bookmarkStart w:id="8" w:name="Counsel"/>
      <w:bookmarkEnd w:id="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Lavern Charles Fast Horse, Indian Springs, NV,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E. Porada, Trial Attorney, Commercial Litigation Branch, Civil Division, U.S. Department of Justice, Washington, DC, with whom were Claudia Burke, Assistant Director, Robert E. Kirschman, Jr., Director, and Chad A. Readler, Acting Assistant Attorney General, for Defendant.</w:t>
      </w:r>
    </w:p>
    <w:p>
      <w:pPr>
        <w:keepNext w:val="0"/>
        <w:widowControl w:val="0"/>
        <w:spacing w:before="240" w:after="0" w:line="260" w:lineRule="atLeast"/>
        <w:ind w:left="0" w:right="0" w:firstLine="0"/>
        <w:jc w:val="left"/>
      </w:pPr>
      <w:bookmarkStart w:id="9" w:name="Judges"/>
      <w:bookmarkEnd w:id="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ELAINE D. KAPLAN, Judge.</w:t>
      </w:r>
    </w:p>
    <w:p>
      <w:pPr>
        <w:keepNext w:val="0"/>
        <w:widowControl w:val="0"/>
        <w:spacing w:before="240" w:after="0" w:line="260" w:lineRule="atLeast"/>
        <w:ind w:left="0" w:right="0" w:firstLine="0"/>
        <w:jc w:val="left"/>
      </w:pPr>
      <w:bookmarkStart w:id="10" w:name="Opinion by"/>
      <w:bookmarkEnd w:id="1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ELAINE D. KAPLAN</w:t>
      </w:r>
    </w:p>
    <w:p>
      <w:pPr>
        <w:keepNext/>
        <w:widowControl w:val="0"/>
        <w:spacing w:before="240" w:after="0" w:line="340" w:lineRule="atLeast"/>
        <w:ind w:left="0" w:right="0" w:firstLine="0"/>
        <w:jc w:val="left"/>
      </w:pPr>
      <w:bookmarkStart w:id="11" w:name="Opinion"/>
      <w:bookmarkEnd w:id="1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60288"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 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i w:val="0"/>
          <w:strike w:val="0"/>
          <w:noProof w:val="0"/>
          <w:color w:val="000000"/>
          <w:position w:val="0"/>
          <w:sz w:val="20"/>
          <w:u w:val="none"/>
          <w:vertAlign w:val="baseline"/>
        </w:rPr>
        <w:t>KAPLAN,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Plaintiff Lavern Charles Fast Horse is a member of the Oglala Sioux Tribe and an inmate at the Southern Desert Correctional Center in Nevada. In this case, acting pro se, Mr. Fast Horse has filed a complaint which asserts, among other things, that the Vatican "provides the United States . . . with funds" that Mr. Fast Horse believes belong to him and also that he is owed money on unspecified bonds issued pursuant to the protocols established by the Committee on Uniform Securities Identification Procedures (CUSIP).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3, Docket No. 1. </w:t>
      </w:r>
      <w:bookmarkStart w:id="14" w:name="Bookmark_I5RT7HF92N1R7W0020000400"/>
      <w:bookmarkEnd w:id="14"/>
      <w:r>
        <w:rPr>
          <w:rFonts w:ascii="arial" w:eastAsia="arial" w:hAnsi="arial" w:cs="arial"/>
          <w:b w:val="0"/>
          <w:i w:val="0"/>
          <w:strike w:val="0"/>
          <w:noProof w:val="0"/>
          <w:color w:val="000000"/>
          <w:position w:val="0"/>
          <w:sz w:val="20"/>
          <w:u w:val="none"/>
          <w:vertAlign w:val="baseline"/>
        </w:rPr>
        <w:t xml:space="preserve">He requests "a complete forensic auditing" of his bonds,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and asserts claims against the United States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 xml:space="preserve">section 4 of the Clayton </w:t>
        </w:r>
      </w:hyperlink>
      <w:hyperlink r:id="rId8" w:history="1">
        <w:r>
          <w:rPr>
            <w:rFonts w:ascii="arial" w:eastAsia="arial" w:hAnsi="arial" w:cs="arial"/>
            <w:b/>
            <w:i/>
            <w:strike w:val="0"/>
            <w:noProof w:val="0"/>
            <w:color w:val="0077CC"/>
            <w:position w:val="0"/>
            <w:sz w:val="20"/>
            <w:u w:val="single"/>
            <w:vertAlign w:val="baseline"/>
          </w:rPr>
          <w:t>Antitrust</w:t>
        </w:r>
      </w:hyperlink>
      <w:hyperlink r:id="rId8"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 .S.C. § 15</w:t>
        </w:r>
      </w:hyperlink>
      <w:r>
        <w:rPr>
          <w:rFonts w:ascii="arial" w:eastAsia="arial" w:hAnsi="arial" w:cs="arial"/>
          <w:b w:val="0"/>
          <w:i w:val="0"/>
          <w:strike w:val="0"/>
          <w:noProof w:val="0"/>
          <w:color w:val="000000"/>
          <w:position w:val="0"/>
          <w:sz w:val="20"/>
          <w:u w:val="none"/>
          <w:vertAlign w:val="baseline"/>
        </w:rPr>
        <w:t xml:space="preserve">; and the </w:t>
      </w:r>
      <w:hyperlink r:id="rId9" w:history="1">
        <w:r>
          <w:rPr>
            <w:rFonts w:ascii="arial" w:eastAsia="arial" w:hAnsi="arial" w:cs="arial"/>
            <w:b w:val="0"/>
            <w:i/>
            <w:strike w:val="0"/>
            <w:noProof w:val="0"/>
            <w:color w:val="0077CC"/>
            <w:position w:val="0"/>
            <w:sz w:val="20"/>
            <w:u w:val="single"/>
            <w:vertAlign w:val="baseline"/>
          </w:rPr>
          <w:t>Racketeer Influenced and Corrupt Organizations Act (RICO), 18 U.S.C. §§ 1961-68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3. In addition, citing </w:t>
      </w:r>
      <w:bookmarkStart w:id="15" w:name="Bookmark_I5RT7HF92N1R7W0010000400"/>
      <w:bookmarkEnd w:id="15"/>
      <w:hyperlink r:id="rId10" w:history="1">
        <w:r>
          <w:rPr>
            <w:rFonts w:ascii="arial" w:eastAsia="arial" w:hAnsi="arial" w:cs="arial"/>
            <w:b w:val="0"/>
            <w:i/>
            <w:strike w:val="0"/>
            <w:noProof w:val="0"/>
            <w:color w:val="0077CC"/>
            <w:position w:val="0"/>
            <w:sz w:val="20"/>
            <w:u w:val="single"/>
            <w:vertAlign w:val="baseline"/>
          </w:rPr>
          <w:t>United States v. Brignoni-Ponce</w:t>
        </w:r>
      </w:hyperlink>
      <w:hyperlink r:id="rId10" w:history="1">
        <w:r>
          <w:rPr>
            <w:rFonts w:ascii="arial" w:eastAsia="arial" w:hAnsi="arial" w:cs="arial"/>
            <w:b w:val="0"/>
            <w:i/>
            <w:strike w:val="0"/>
            <w:noProof w:val="0"/>
            <w:color w:val="0077CC"/>
            <w:position w:val="0"/>
            <w:sz w:val="20"/>
            <w:u w:val="single"/>
            <w:vertAlign w:val="baseline"/>
          </w:rPr>
          <w:t>, 422 U.S. 873, 95 S. Ct. 2574, 45 L. Ed. 2d 607 (1975)</w:t>
        </w:r>
      </w:hyperlink>
      <w:r>
        <w:rPr>
          <w:rFonts w:ascii="arial" w:eastAsia="arial" w:hAnsi="arial" w:cs="arial"/>
          <w:b w:val="0"/>
          <w:i w:val="0"/>
          <w:strike w:val="0"/>
          <w:noProof w:val="0"/>
          <w:color w:val="000000"/>
          <w:position w:val="0"/>
          <w:sz w:val="20"/>
          <w:u w:val="none"/>
          <w:vertAlign w:val="baseline"/>
        </w:rPr>
        <w:t xml:space="preserve">, he requests an award of compensatory damages against the federal government for being "part of this Ponce scheme." Compl. at 3. Finally, Mr. Fast Horse asks for awards of compensatory and punitive damages against any previous penal institution in which he has been incarcerated.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 xml:space="preserve">The government has filed a motion to dismiss Mr. Fast Horse's complaint for lack of jurisdiction in accordance with </w:t>
      </w:r>
      <w:hyperlink r:id="rId11" w:history="1">
        <w:r>
          <w:rPr>
            <w:rFonts w:ascii="arial" w:eastAsia="arial" w:hAnsi="arial" w:cs="arial"/>
            <w:b w:val="0"/>
            <w:i/>
            <w:strike w:val="0"/>
            <w:noProof w:val="0"/>
            <w:color w:val="0077CC"/>
            <w:position w:val="0"/>
            <w:sz w:val="20"/>
            <w:u w:val="single"/>
            <w:vertAlign w:val="baseline"/>
          </w:rPr>
          <w:t>Rule 12(b)(1) of Rules of the Court of Federal Claims (RCFC)</w:t>
        </w:r>
      </w:hyperlink>
      <w:r>
        <w:rPr>
          <w:rFonts w:ascii="arial" w:eastAsia="arial" w:hAnsi="arial" w:cs="arial"/>
          <w:b w:val="0"/>
          <w:i w:val="0"/>
          <w:strike w:val="0"/>
          <w:noProof w:val="0"/>
          <w:color w:val="000000"/>
          <w:position w:val="0"/>
          <w:sz w:val="20"/>
          <w:u w:val="none"/>
          <w:vertAlign w:val="baseline"/>
        </w:rPr>
        <w:t xml:space="preserve">. For the reasons set forth below, the government's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7" w:name="Bookmark_para_5"/>
      <w:bookmarkEnd w:id="17"/>
      <w:bookmarkStart w:id="18" w:name="Bookmark_I5RT7HF92N1R7W0040000400"/>
      <w:bookmarkEnd w:id="18"/>
      <w:r>
        <w:rPr>
          <w:rFonts w:ascii="arial" w:eastAsia="arial" w:hAnsi="arial" w:cs="arial"/>
          <w:b w:val="0"/>
          <w:i w:val="0"/>
          <w:strike w:val="0"/>
          <w:noProof w:val="0"/>
          <w:color w:val="000000"/>
          <w:position w:val="0"/>
          <w:sz w:val="20"/>
          <w:u w:val="none"/>
          <w:vertAlign w:val="baseline"/>
        </w:rPr>
        <w:t xml:space="preserve">In deciding a motion to dismiss for lack of subject matter jurisdiction, the court accepts as true all undisputed facts in the pleadings and draws all reasonable inferences in favor of the plaintiff. </w:t>
      </w:r>
      <w:bookmarkStart w:id="19" w:name="Bookmark_I5RT7HF928T3W40010000400"/>
      <w:bookmarkEnd w:id="19"/>
      <w:bookmarkStart w:id="20" w:name="Bookmark_I5RT7HF92N1R7W0030000400"/>
      <w:bookmarkEnd w:id="20"/>
      <w:hyperlink r:id="rId12" w:history="1">
        <w:r>
          <w:rPr>
            <w:rFonts w:ascii="arial" w:eastAsia="arial" w:hAnsi="arial" w:cs="arial"/>
            <w:b w:val="0"/>
            <w:i/>
            <w:strike w:val="0"/>
            <w:noProof w:val="0"/>
            <w:color w:val="0077CC"/>
            <w:position w:val="0"/>
            <w:sz w:val="20"/>
            <w:u w:val="single"/>
            <w:vertAlign w:val="baseline"/>
          </w:rPr>
          <w:t>Trusted Integration, Inc. v. United States</w:t>
        </w:r>
      </w:hyperlink>
      <w:hyperlink r:id="rId12" w:history="1">
        <w:r>
          <w:rPr>
            <w:rFonts w:ascii="arial" w:eastAsia="arial" w:hAnsi="arial" w:cs="arial"/>
            <w:b w:val="0"/>
            <w:i/>
            <w:strike w:val="0"/>
            <w:noProof w:val="0"/>
            <w:color w:val="0077CC"/>
            <w:position w:val="0"/>
            <w:sz w:val="20"/>
            <w:u w:val="single"/>
            <w:vertAlign w:val="baseline"/>
          </w:rPr>
          <w:t>, 659 F.3d 1159, 1163 (Fed. Cir. 2011)</w:t>
        </w:r>
      </w:hyperlink>
      <w:r>
        <w:rPr>
          <w:rFonts w:ascii="arial" w:eastAsia="arial" w:hAnsi="arial" w:cs="arial"/>
          <w:b w:val="0"/>
          <w:i w:val="0"/>
          <w:strike w:val="0"/>
          <w:noProof w:val="0"/>
          <w:color w:val="000000"/>
          <w:position w:val="0"/>
          <w:sz w:val="20"/>
          <w:u w:val="none"/>
          <w:vertAlign w:val="baseline"/>
        </w:rPr>
        <w:t xml:space="preserve">. </w:t>
      </w:r>
      <w:bookmarkStart w:id="21" w:name="Bookmark_I5RT7HF928T3W40030000400"/>
      <w:bookmarkEnd w:id="21"/>
      <w:r>
        <w:rPr>
          <w:rFonts w:ascii="arial" w:eastAsia="arial" w:hAnsi="arial" w:cs="arial"/>
          <w:b w:val="0"/>
          <w:i w:val="0"/>
          <w:strike w:val="0"/>
          <w:noProof w:val="0"/>
          <w:color w:val="000000"/>
          <w:position w:val="0"/>
          <w:sz w:val="20"/>
          <w:u w:val="none"/>
          <w:vertAlign w:val="baseline"/>
        </w:rPr>
        <w:t xml:space="preserve">The court may "inquire into jurisdictional facts" to determine whether it has jurisdiction. </w:t>
      </w:r>
      <w:bookmarkStart w:id="22" w:name="Bookmark_I5RT7HF928T3W40030000400_2"/>
      <w:bookmarkEnd w:id="22"/>
      <w:bookmarkStart w:id="23" w:name="Bookmark_I5RT7HF928T3W40010000400_2"/>
      <w:bookmarkEnd w:id="23"/>
      <w:bookmarkStart w:id="24" w:name="Bookmark_I5RT7HF928T3W40050000400"/>
      <w:bookmarkEnd w:id="24"/>
      <w:bookmarkStart w:id="25" w:name="Bookmark_I5RT7HF92N1R7W0050000400"/>
      <w:bookmarkEnd w:id="25"/>
      <w:hyperlink r:id="rId13" w:history="1">
        <w:r>
          <w:rPr>
            <w:rFonts w:ascii="arial" w:eastAsia="arial" w:hAnsi="arial" w:cs="arial"/>
            <w:b w:val="0"/>
            <w:i/>
            <w:strike w:val="0"/>
            <w:noProof w:val="0"/>
            <w:color w:val="0077CC"/>
            <w:position w:val="0"/>
            <w:sz w:val="20"/>
            <w:u w:val="single"/>
            <w:vertAlign w:val="baseline"/>
          </w:rPr>
          <w:t>Rocovich v. United States</w:t>
        </w:r>
      </w:hyperlink>
      <w:hyperlink r:id="rId13" w:history="1">
        <w:r>
          <w:rPr>
            <w:rFonts w:ascii="arial" w:eastAsia="arial" w:hAnsi="arial" w:cs="arial"/>
            <w:b w:val="0"/>
            <w:i/>
            <w:strike w:val="0"/>
            <w:noProof w:val="0"/>
            <w:color w:val="0077CC"/>
            <w:position w:val="0"/>
            <w:sz w:val="20"/>
            <w:u w:val="single"/>
            <w:vertAlign w:val="baseline"/>
          </w:rPr>
          <w:t>, 933 F.2d 991, 993 (Fed. Cir. 1991)</w:t>
        </w:r>
      </w:hyperlink>
      <w:r>
        <w:rPr>
          <w:rFonts w:ascii="arial" w:eastAsia="arial" w:hAnsi="arial" w:cs="arial"/>
          <w:b w:val="0"/>
          <w:i w:val="0"/>
          <w:strike w:val="0"/>
          <w:noProof w:val="0"/>
          <w:color w:val="000000"/>
          <w:position w:val="0"/>
          <w:sz w:val="20"/>
          <w:u w:val="none"/>
          <w:vertAlign w:val="baseline"/>
        </w:rPr>
        <w:t xml:space="preserve">. </w:t>
      </w:r>
      <w:bookmarkStart w:id="26" w:name="Bookmark_I5RT7HF928T3W40050000400_2"/>
      <w:bookmarkEnd w:id="26"/>
      <w:r>
        <w:rPr>
          <w:rFonts w:ascii="arial" w:eastAsia="arial" w:hAnsi="arial" w:cs="arial"/>
          <w:b w:val="0"/>
          <w:i w:val="0"/>
          <w:strike w:val="0"/>
          <w:noProof w:val="0"/>
          <w:color w:val="000000"/>
          <w:position w:val="0"/>
          <w:sz w:val="20"/>
          <w:u w:val="none"/>
          <w:vertAlign w:val="baseline"/>
        </w:rPr>
        <w:t xml:space="preserve">It is well established that complaints that are filed by pro se plaintiffs, like this one, are held to "less stringent standards than formal pleadings drafted by lawyers." </w:t>
      </w:r>
      <w:bookmarkStart w:id="27" w:name="Bookmark_I5RT7HF928T3W40020000400"/>
      <w:bookmarkEnd w:id="27"/>
      <w:hyperlink r:id="rId14" w:history="1">
        <w:r>
          <w:rPr>
            <w:rFonts w:ascii="arial" w:eastAsia="arial" w:hAnsi="arial" w:cs="arial"/>
            <w:b w:val="0"/>
            <w:i/>
            <w:strike w:val="0"/>
            <w:noProof w:val="0"/>
            <w:color w:val="0077CC"/>
            <w:position w:val="0"/>
            <w:sz w:val="20"/>
            <w:u w:val="single"/>
            <w:vertAlign w:val="baseline"/>
          </w:rPr>
          <w:t>Haines v. Kerner</w:t>
        </w:r>
      </w:hyperlink>
      <w:hyperlink r:id="rId14"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 xml:space="preserve">. </w:t>
      </w:r>
      <w:bookmarkStart w:id="28" w:name="Bookmark_I5RT7HF928T3W40050000400_3"/>
      <w:bookmarkEnd w:id="28"/>
      <w:r>
        <w:rPr>
          <w:rFonts w:ascii="arial" w:eastAsia="arial" w:hAnsi="arial" w:cs="arial"/>
          <w:b w:val="0"/>
          <w:i w:val="0"/>
          <w:strike w:val="0"/>
          <w:noProof w:val="0"/>
          <w:color w:val="000000"/>
          <w:position w:val="0"/>
          <w:sz w:val="20"/>
          <w:u w:val="none"/>
          <w:vertAlign w:val="baseline"/>
        </w:rPr>
        <w:t xml:space="preserve">Nonetheless, even pro se plaintiffs must persuade the court that jurisdictional requirements have been met. </w:t>
      </w:r>
      <w:bookmarkStart w:id="29" w:name="Bookmark_I5RT7HF928T3W40040000400"/>
      <w:bookmarkEnd w:id="29"/>
      <w:hyperlink r:id="rId15" w:history="1">
        <w:r>
          <w:rPr>
            <w:rFonts w:ascii="arial" w:eastAsia="arial" w:hAnsi="arial" w:cs="arial"/>
            <w:b w:val="0"/>
            <w:i/>
            <w:strike w:val="0"/>
            <w:noProof w:val="0"/>
            <w:color w:val="0077CC"/>
            <w:position w:val="0"/>
            <w:sz w:val="20"/>
            <w:u w:val="single"/>
            <w:vertAlign w:val="baseline"/>
          </w:rPr>
          <w:t>Bernard v. United States</w:t>
        </w:r>
      </w:hyperlink>
      <w:hyperlink r:id="rId15" w:history="1">
        <w:r>
          <w:rPr>
            <w:rFonts w:ascii="arial" w:eastAsia="arial" w:hAnsi="arial" w:cs="arial"/>
            <w:b w:val="0"/>
            <w:i/>
            <w:strike w:val="0"/>
            <w:noProof w:val="0"/>
            <w:color w:val="0077CC"/>
            <w:position w:val="0"/>
            <w:sz w:val="20"/>
            <w:u w:val="single"/>
            <w:vertAlign w:val="baseline"/>
          </w:rPr>
          <w:t>, 59 Fed. Cl. 497, 499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98 F. App'x 860 (Fed.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6"/>
      <w:bookmarkEnd w:id="30"/>
      <w:bookmarkStart w:id="31" w:name="Bookmark_I5RT7HF92D6N250020000400"/>
      <w:bookmarkEnd w:id="31"/>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val="0"/>
          <w:i/>
          <w:strike w:val="0"/>
          <w:noProof w:val="0"/>
          <w:color w:val="000000"/>
          <w:position w:val="0"/>
          <w:sz w:val="20"/>
          <w:u w:val="none"/>
          <w:vertAlign w:val="baseline"/>
        </w:rPr>
        <w:t>Tucker Act</w:t>
      </w:r>
      <w:r>
        <w:rPr>
          <w:rFonts w:ascii="arial" w:eastAsia="arial" w:hAnsi="arial" w:cs="arial"/>
          <w:b w:val="0"/>
          <w:i w:val="0"/>
          <w:strike w:val="0"/>
          <w:noProof w:val="0"/>
          <w:color w:val="000000"/>
          <w:position w:val="0"/>
          <w:sz w:val="20"/>
          <w:u w:val="none"/>
          <w:vertAlign w:val="baseline"/>
        </w:rPr>
        <w:t>, the United States Court of Federal Claims has jurisdiction to "render judgment upon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any claim against the United States founded either upon the Constitution, or any Act of Congress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executive department, or upon any express or implied contract with the United States, or for liquidated or unliquidated damages in cases not sounding in tort." </w:t>
      </w:r>
      <w:r>
        <w:rPr>
          <w:rFonts w:ascii="arial" w:eastAsia="arial" w:hAnsi="arial" w:cs="arial"/>
          <w:b w:val="0"/>
          <w:i/>
          <w:strike w:val="0"/>
          <w:noProof w:val="0"/>
          <w:color w:val="000000"/>
          <w:position w:val="0"/>
          <w:sz w:val="20"/>
          <w:u w:val="none"/>
          <w:vertAlign w:val="baseline"/>
        </w:rPr>
        <w:t>28 U.S.C. § 1491(a) (2012)</w:t>
      </w:r>
      <w:r>
        <w:rPr>
          <w:rFonts w:ascii="arial" w:eastAsia="arial" w:hAnsi="arial" w:cs="arial"/>
          <w:b w:val="0"/>
          <w:i w:val="0"/>
          <w:strike w:val="0"/>
          <w:noProof w:val="0"/>
          <w:color w:val="000000"/>
          <w:position w:val="0"/>
          <w:sz w:val="20"/>
          <w:u w:val="none"/>
          <w:vertAlign w:val="baseline"/>
        </w:rPr>
        <w:t xml:space="preserve">. </w:t>
      </w:r>
      <w:bookmarkStart w:id="32" w:name="Bookmark_I5RT7HF92D6N250040000400"/>
      <w:bookmarkEnd w:id="32"/>
      <w:r>
        <w:rPr>
          <w:rFonts w:ascii="arial" w:eastAsia="arial" w:hAnsi="arial" w:cs="arial"/>
          <w:b w:val="0"/>
          <w:i w:val="0"/>
          <w:strike w:val="0"/>
          <w:noProof w:val="0"/>
          <w:color w:val="000000"/>
          <w:position w:val="0"/>
          <w:sz w:val="20"/>
          <w:u w:val="none"/>
          <w:vertAlign w:val="baseline"/>
        </w:rPr>
        <w:t xml:space="preserve">The Tucker Act serves as a waiver of sovereign immunity and a jurisdictional grant, but it does not create a substantive cause of action. </w:t>
      </w:r>
      <w:bookmarkStart w:id="33" w:name="Bookmark_I5RT7HF92D6N250010000400"/>
      <w:bookmarkEnd w:id="33"/>
      <w:hyperlink r:id="rId17" w:history="1">
        <w:r>
          <w:rPr>
            <w:rFonts w:ascii="arial" w:eastAsia="arial" w:hAnsi="arial" w:cs="arial"/>
            <w:b w:val="0"/>
            <w:i/>
            <w:strike w:val="0"/>
            <w:noProof w:val="0"/>
            <w:color w:val="0077CC"/>
            <w:position w:val="0"/>
            <w:sz w:val="20"/>
            <w:u w:val="single"/>
            <w:vertAlign w:val="baseline"/>
          </w:rPr>
          <w:t>Jan's Helicopter Serv., Inc. v. Fed. Aviation Admin.</w:t>
        </w:r>
      </w:hyperlink>
      <w:hyperlink r:id="rId17" w:history="1">
        <w:r>
          <w:rPr>
            <w:rFonts w:ascii="arial" w:eastAsia="arial" w:hAnsi="arial" w:cs="arial"/>
            <w:b w:val="0"/>
            <w:i/>
            <w:strike w:val="0"/>
            <w:noProof w:val="0"/>
            <w:color w:val="0077CC"/>
            <w:position w:val="0"/>
            <w:sz w:val="20"/>
            <w:u w:val="single"/>
            <w:vertAlign w:val="baseline"/>
          </w:rPr>
          <w:t>, 525 F.3d 1299, 1306 (Fed. Cir. 2008)</w:t>
        </w:r>
      </w:hyperlink>
      <w:r>
        <w:rPr>
          <w:rFonts w:ascii="arial" w:eastAsia="arial" w:hAnsi="arial" w:cs="arial"/>
          <w:b w:val="0"/>
          <w:i w:val="0"/>
          <w:strike w:val="0"/>
          <w:noProof w:val="0"/>
          <w:color w:val="000000"/>
          <w:position w:val="0"/>
          <w:sz w:val="20"/>
          <w:u w:val="none"/>
          <w:vertAlign w:val="baseline"/>
        </w:rPr>
        <w:t xml:space="preserve">. </w:t>
      </w:r>
      <w:bookmarkStart w:id="34" w:name="Bookmark_I5RT7HF92D6N250040000400_2"/>
      <w:bookmarkEnd w:id="34"/>
      <w:r>
        <w:rPr>
          <w:rFonts w:ascii="arial" w:eastAsia="arial" w:hAnsi="arial" w:cs="arial"/>
          <w:b w:val="0"/>
          <w:i w:val="0"/>
          <w:strike w:val="0"/>
          <w:noProof w:val="0"/>
          <w:color w:val="000000"/>
          <w:position w:val="0"/>
          <w:sz w:val="20"/>
          <w:u w:val="none"/>
          <w:vertAlign w:val="baseline"/>
        </w:rPr>
        <w:t xml:space="preserve">A plaintiff, therefore, must establish that "a separate source of substantive law . . . creates the right to money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 w:name="Bookmark_I5RT7HF92D6N250030000400"/>
      <w:bookmarkEnd w:id="35"/>
      <w:hyperlink r:id="rId18" w:history="1">
        <w:r>
          <w:rPr>
            <w:rFonts w:ascii="arial" w:eastAsia="arial" w:hAnsi="arial" w:cs="arial"/>
            <w:b w:val="0"/>
            <w:i/>
            <w:strike w:val="0"/>
            <w:noProof w:val="0"/>
            <w:color w:val="0077CC"/>
            <w:position w:val="0"/>
            <w:sz w:val="20"/>
            <w:u w:val="single"/>
            <w:vertAlign w:val="baseline"/>
          </w:rPr>
          <w:t>Fisher v. United States</w:t>
        </w:r>
      </w:hyperlink>
      <w:hyperlink r:id="rId18" w:history="1">
        <w:r>
          <w:rPr>
            <w:rFonts w:ascii="arial" w:eastAsia="arial" w:hAnsi="arial" w:cs="arial"/>
            <w:b w:val="0"/>
            <w:i/>
            <w:strike w:val="0"/>
            <w:noProof w:val="0"/>
            <w:color w:val="0077CC"/>
            <w:position w:val="0"/>
            <w:sz w:val="20"/>
            <w:u w:val="single"/>
            <w:vertAlign w:val="baseline"/>
          </w:rPr>
          <w:t>, 402 F.3d 1167, 1172 (Fed. Cir. 2005)</w:t>
        </w:r>
      </w:hyperlink>
      <w:r>
        <w:rPr>
          <w:rFonts w:ascii="arial" w:eastAsia="arial" w:hAnsi="arial" w:cs="arial"/>
          <w:b w:val="0"/>
          <w:i w:val="0"/>
          <w:strike w:val="0"/>
          <w:noProof w:val="0"/>
          <w:color w:val="000000"/>
          <w:position w:val="0"/>
          <w:sz w:val="20"/>
          <w:u w:val="none"/>
          <w:vertAlign w:val="baseline"/>
        </w:rPr>
        <w:t xml:space="preserve"> (en banc in relevant part)).</w:t>
      </w:r>
    </w:p>
    <w:p>
      <w:pPr>
        <w:keepNext w:val="0"/>
        <w:widowControl w:val="0"/>
        <w:spacing w:before="200" w:after="0" w:line="260" w:lineRule="atLeast"/>
        <w:ind w:left="0" w:right="0" w:firstLine="0"/>
        <w:jc w:val="both"/>
      </w:pPr>
      <w:bookmarkStart w:id="36" w:name="Bookmark_para_7"/>
      <w:bookmarkEnd w:id="36"/>
      <w:bookmarkStart w:id="37" w:name="Bookmark_I5RT7HF928T3W50010000400"/>
      <w:bookmarkEnd w:id="37"/>
      <w:bookmarkStart w:id="38" w:name="Bookmark_I5RT7HF928T3W50050000400"/>
      <w:bookmarkEnd w:id="38"/>
      <w:r>
        <w:rPr>
          <w:rFonts w:ascii="arial" w:eastAsia="arial" w:hAnsi="arial" w:cs="arial"/>
          <w:b w:val="0"/>
          <w:i w:val="0"/>
          <w:strike w:val="0"/>
          <w:noProof w:val="0"/>
          <w:color w:val="000000"/>
          <w:position w:val="0"/>
          <w:sz w:val="20"/>
          <w:u w:val="none"/>
          <w:vertAlign w:val="baseline"/>
        </w:rPr>
        <w:t xml:space="preserve">As described above, Mr. Fast Horse seeks unspecified damages based on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the </w:t>
      </w:r>
      <w:hyperlink r:id="rId1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RICO</w:t>
        </w:r>
      </w:hyperlink>
      <w:r>
        <w:rPr>
          <w:rFonts w:ascii="arial" w:eastAsia="arial" w:hAnsi="arial" w:cs="arial"/>
          <w:b w:val="0"/>
          <w:i w:val="0"/>
          <w:strike w:val="0"/>
          <w:noProof w:val="0"/>
          <w:color w:val="000000"/>
          <w:position w:val="0"/>
          <w:sz w:val="20"/>
          <w:u w:val="none"/>
          <w:vertAlign w:val="baseline"/>
        </w:rPr>
        <w:t xml:space="preserve">. But this Court does not have jurisdiction to adjudicate claims brought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39" w:name="Bookmark_I5RT7HF92D6N250050000400"/>
      <w:bookmarkEnd w:id="39"/>
      <w:hyperlink r:id="rId20" w:history="1">
        <w:r>
          <w:rPr>
            <w:rFonts w:ascii="arial" w:eastAsia="arial" w:hAnsi="arial" w:cs="arial"/>
            <w:b w:val="0"/>
            <w:i/>
            <w:strike w:val="0"/>
            <w:noProof w:val="0"/>
            <w:color w:val="0077CC"/>
            <w:position w:val="0"/>
            <w:sz w:val="20"/>
            <w:u w:val="single"/>
            <w:vertAlign w:val="baseline"/>
          </w:rPr>
          <w:t>Johnson v. United States</w:t>
        </w:r>
      </w:hyperlink>
      <w:hyperlink r:id="rId20" w:history="1">
        <w:r>
          <w:rPr>
            <w:rFonts w:ascii="arial" w:eastAsia="arial" w:hAnsi="arial" w:cs="arial"/>
            <w:b w:val="0"/>
            <w:i/>
            <w:strike w:val="0"/>
            <w:noProof w:val="0"/>
            <w:color w:val="0077CC"/>
            <w:position w:val="0"/>
            <w:sz w:val="20"/>
            <w:u w:val="single"/>
            <w:vertAlign w:val="baseline"/>
          </w:rPr>
          <w:t>, No. 97-5107, 1998 U.S. App. LEXIS 1618, 1988 WL 39162, at *2 (Fed. Cir. Feb. 3 1998)</w:t>
        </w:r>
      </w:hyperlink>
      <w:r>
        <w:rPr>
          <w:rFonts w:ascii="arial" w:eastAsia="arial" w:hAnsi="arial" w:cs="arial"/>
          <w:b w:val="0"/>
          <w:i w:val="0"/>
          <w:strike w:val="0"/>
          <w:noProof w:val="0"/>
          <w:color w:val="000000"/>
          <w:position w:val="0"/>
          <w:sz w:val="20"/>
          <w:u w:val="none"/>
          <w:vertAlign w:val="baseline"/>
        </w:rPr>
        <w:t xml:space="preserve"> (per curiam); </w:t>
      </w:r>
      <w:bookmarkStart w:id="40" w:name="Bookmark_I5RT7HF928T3W50020000400"/>
      <w:bookmarkEnd w:id="40"/>
      <w:hyperlink r:id="rId21" w:history="1">
        <w:r>
          <w:rPr>
            <w:rFonts w:ascii="arial" w:eastAsia="arial" w:hAnsi="arial" w:cs="arial"/>
            <w:b w:val="0"/>
            <w:i/>
            <w:strike w:val="0"/>
            <w:noProof w:val="0"/>
            <w:color w:val="0077CC"/>
            <w:position w:val="0"/>
            <w:sz w:val="20"/>
            <w:u w:val="single"/>
            <w:vertAlign w:val="baseline"/>
          </w:rPr>
          <w:t>Lowe v. United States</w:t>
        </w:r>
      </w:hyperlink>
      <w:hyperlink r:id="rId21" w:history="1">
        <w:r>
          <w:rPr>
            <w:rFonts w:ascii="arial" w:eastAsia="arial" w:hAnsi="arial" w:cs="arial"/>
            <w:b w:val="0"/>
            <w:i/>
            <w:strike w:val="0"/>
            <w:noProof w:val="0"/>
            <w:color w:val="0077CC"/>
            <w:position w:val="0"/>
            <w:sz w:val="20"/>
            <w:u w:val="single"/>
            <w:vertAlign w:val="baseline"/>
          </w:rPr>
          <w:t>, 76 Fed. Cl. 262, 266 (2007)</w:t>
        </w:r>
      </w:hyperlink>
      <w:r>
        <w:rPr>
          <w:rFonts w:ascii="arial" w:eastAsia="arial" w:hAnsi="arial" w:cs="arial"/>
          <w:b w:val="0"/>
          <w:i w:val="0"/>
          <w:strike w:val="0"/>
          <w:noProof w:val="0"/>
          <w:color w:val="000000"/>
          <w:position w:val="0"/>
          <w:sz w:val="20"/>
          <w:u w:val="none"/>
          <w:vertAlign w:val="baseline"/>
        </w:rPr>
        <w:t xml:space="preserve"> ("[T]he United States Court of Federal Claims does not have jurisdiction over claims arising under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and may not adjudicate Plaintiffs claims arising thereunder."). Nor does this Court possess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the Clayton Act because that Act specifically provides that a plaintiff may file such a claim only "in any district court of the United States in the district in which the defendant resides or is found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or has an agent." </w:t>
      </w:r>
      <w:hyperlink r:id="rId8"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1" w:name="Bookmark_I5RT7HF928T3W50040000400"/>
      <w:bookmarkEnd w:id="41"/>
      <w:hyperlink r:id="rId22" w:history="1">
        <w:r>
          <w:rPr>
            <w:rFonts w:ascii="arial" w:eastAsia="arial" w:hAnsi="arial" w:cs="arial"/>
            <w:b w:val="0"/>
            <w:i/>
            <w:strike w:val="0"/>
            <w:noProof w:val="0"/>
            <w:color w:val="0077CC"/>
            <w:position w:val="0"/>
            <w:sz w:val="20"/>
            <w:u w:val="single"/>
            <w:vertAlign w:val="baseline"/>
          </w:rPr>
          <w:t>Estate of Grant v. United States</w:t>
        </w:r>
      </w:hyperlink>
      <w:hyperlink r:id="rId22" w:history="1">
        <w:r>
          <w:rPr>
            <w:rFonts w:ascii="arial" w:eastAsia="arial" w:hAnsi="arial" w:cs="arial"/>
            <w:b w:val="0"/>
            <w:i/>
            <w:strike w:val="0"/>
            <w:noProof w:val="0"/>
            <w:color w:val="0077CC"/>
            <w:position w:val="0"/>
            <w:sz w:val="20"/>
            <w:u w:val="single"/>
            <w:vertAlign w:val="baseline"/>
          </w:rPr>
          <w:t>, 134 Fed. Cl. 348, 357-58 (2017)</w:t>
        </w:r>
      </w:hyperlink>
      <w:r>
        <w:rPr>
          <w:rFonts w:ascii="arial" w:eastAsia="arial" w:hAnsi="arial" w:cs="arial"/>
          <w:b w:val="0"/>
          <w:i w:val="0"/>
          <w:strike w:val="0"/>
          <w:noProof w:val="0"/>
          <w:color w:val="000000"/>
          <w:position w:val="0"/>
          <w:sz w:val="20"/>
          <w:u w:val="none"/>
          <w:vertAlign w:val="baseline"/>
        </w:rPr>
        <w:t xml:space="preserve"> ("[C]laims under the Clayton Act are outside the Court's jurisdiction because they are committed to the district courts."); </w:t>
      </w:r>
      <w:bookmarkStart w:id="42" w:name="Bookmark_I5RT7HF92HM5S30010000400"/>
      <w:bookmarkEnd w:id="42"/>
      <w:hyperlink r:id="rId23" w:history="1">
        <w:r>
          <w:rPr>
            <w:rFonts w:ascii="arial" w:eastAsia="arial" w:hAnsi="arial" w:cs="arial"/>
            <w:b w:val="0"/>
            <w:i/>
            <w:strike w:val="0"/>
            <w:noProof w:val="0"/>
            <w:color w:val="0077CC"/>
            <w:position w:val="0"/>
            <w:sz w:val="20"/>
            <w:u w:val="single"/>
            <w:vertAlign w:val="baseline"/>
          </w:rPr>
          <w:t>Kabando v. United States</w:t>
        </w:r>
      </w:hyperlink>
      <w:hyperlink r:id="rId23" w:history="1">
        <w:r>
          <w:rPr>
            <w:rFonts w:ascii="arial" w:eastAsia="arial" w:hAnsi="arial" w:cs="arial"/>
            <w:b w:val="0"/>
            <w:i/>
            <w:strike w:val="0"/>
            <w:noProof w:val="0"/>
            <w:color w:val="0077CC"/>
            <w:position w:val="0"/>
            <w:sz w:val="20"/>
            <w:u w:val="single"/>
            <w:vertAlign w:val="baseline"/>
          </w:rPr>
          <w:t>, No. 14-562C, 2014 U.S. Claims LEXIS 882, 2014 WL 4251548, at *2 (Fed. Cl. Aug. 28, 2014)</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lack of jurisdiction).</w:t>
      </w:r>
    </w:p>
    <w:p>
      <w:pPr>
        <w:keepNext w:val="0"/>
        <w:widowControl w:val="0"/>
        <w:spacing w:before="240" w:after="0" w:line="260" w:lineRule="atLeast"/>
        <w:ind w:left="0" w:right="0" w:firstLine="0"/>
        <w:jc w:val="both"/>
      </w:pPr>
      <w:bookmarkStart w:id="43" w:name="Bookmark_para_8"/>
      <w:bookmarkEnd w:id="43"/>
      <w:bookmarkStart w:id="44" w:name="Bookmark_I5RT7HF92HM5S30040000400"/>
      <w:bookmarkEnd w:id="44"/>
      <w:r>
        <w:rPr>
          <w:rFonts w:ascii="arial" w:eastAsia="arial" w:hAnsi="arial" w:cs="arial"/>
          <w:b w:val="0"/>
          <w:i w:val="0"/>
          <w:strike w:val="0"/>
          <w:noProof w:val="0"/>
          <w:color w:val="000000"/>
          <w:position w:val="0"/>
          <w:sz w:val="20"/>
          <w:u w:val="none"/>
          <w:vertAlign w:val="baseline"/>
        </w:rPr>
        <w:t xml:space="preserve">Mr. Fast Horse's claims predicated on RICO are also not within this Court's jurisdiction. Rather, subject matter jurisdiction over RICO claims is vested in United States district courts.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18 U.S.C. § 1965(a)</w:t>
        </w:r>
      </w:hyperlink>
      <w:r>
        <w:rPr>
          <w:rFonts w:ascii="arial" w:eastAsia="arial" w:hAnsi="arial" w:cs="arial"/>
          <w:b w:val="0"/>
          <w:i w:val="0"/>
          <w:strike w:val="0"/>
          <w:noProof w:val="0"/>
          <w:color w:val="000000"/>
          <w:position w:val="0"/>
          <w:sz w:val="20"/>
          <w:u w:val="none"/>
          <w:vertAlign w:val="baseline"/>
        </w:rPr>
        <w:t xml:space="preserve"> ("Any civil action or proceeding under this chapter against any person may be instituted in the district court of the United States for any district in which such person resides, is found, has an agent, or transacts his affairs."); </w:t>
      </w:r>
      <w:r>
        <w:rPr>
          <w:rFonts w:ascii="arial" w:eastAsia="arial" w:hAnsi="arial" w:cs="arial"/>
          <w:b w:val="0"/>
          <w:i w:val="0"/>
          <w:strike w:val="0"/>
          <w:noProof w:val="0"/>
          <w:color w:val="000000"/>
          <w:position w:val="0"/>
          <w:sz w:val="20"/>
          <w:u w:val="single"/>
          <w:vertAlign w:val="baseline"/>
        </w:rPr>
        <w:t xml:space="preserve">see also </w:t>
      </w:r>
      <w:bookmarkStart w:id="45" w:name="Bookmark_I5RT7HF92HM5S30030000400"/>
      <w:bookmarkEnd w:id="45"/>
      <w:hyperlink r:id="rId25" w:history="1">
        <w:r>
          <w:rPr>
            <w:rFonts w:ascii="arial" w:eastAsia="arial" w:hAnsi="arial" w:cs="arial"/>
            <w:b w:val="0"/>
            <w:i/>
            <w:strike w:val="0"/>
            <w:noProof w:val="0"/>
            <w:color w:val="0077CC"/>
            <w:position w:val="0"/>
            <w:sz w:val="20"/>
            <w:u w:val="single"/>
            <w:vertAlign w:val="baseline"/>
          </w:rPr>
          <w:t>Barth v. United States</w:t>
        </w:r>
      </w:hyperlink>
      <w:hyperlink r:id="rId25" w:history="1">
        <w:r>
          <w:rPr>
            <w:rFonts w:ascii="arial" w:eastAsia="arial" w:hAnsi="arial" w:cs="arial"/>
            <w:b w:val="0"/>
            <w:i/>
            <w:strike w:val="0"/>
            <w:noProof w:val="0"/>
            <w:color w:val="0077CC"/>
            <w:position w:val="0"/>
            <w:sz w:val="20"/>
            <w:u w:val="single"/>
            <w:vertAlign w:val="baseline"/>
          </w:rPr>
          <w:t>, No. 17-635C, 2017 U.S. Claims LEXIS 678, 2017 WL 2572378, at *3 (Fed. Cl. June 14, 2017)</w:t>
        </w:r>
      </w:hyperlink>
      <w:r>
        <w:rPr>
          <w:rFonts w:ascii="arial" w:eastAsia="arial" w:hAnsi="arial" w:cs="arial"/>
          <w:b w:val="0"/>
          <w:i w:val="0"/>
          <w:strike w:val="0"/>
          <w:noProof w:val="0"/>
          <w:color w:val="000000"/>
          <w:position w:val="0"/>
          <w:sz w:val="20"/>
          <w:u w:val="none"/>
          <w:vertAlign w:val="baseline"/>
        </w:rPr>
        <w:t xml:space="preserve"> ("[T]his court lacks jurisdiction over plaintiff's claims related to violations of the Racketeer Influenced and Corrupt Organizations Act . . . . ); </w:t>
      </w:r>
      <w:bookmarkStart w:id="46" w:name="Bookmark_I5RT7HF92HM5S30050000400"/>
      <w:bookmarkEnd w:id="46"/>
      <w:hyperlink r:id="rId26" w:history="1">
        <w:r>
          <w:rPr>
            <w:rFonts w:ascii="arial" w:eastAsia="arial" w:hAnsi="arial" w:cs="arial"/>
            <w:b w:val="0"/>
            <w:i/>
            <w:strike w:val="0"/>
            <w:noProof w:val="0"/>
            <w:color w:val="0077CC"/>
            <w:position w:val="0"/>
            <w:sz w:val="20"/>
            <w:u w:val="single"/>
            <w:vertAlign w:val="baseline"/>
          </w:rPr>
          <w:t>Stanwyck v. United States</w:t>
        </w:r>
      </w:hyperlink>
      <w:hyperlink r:id="rId26" w:history="1">
        <w:r>
          <w:rPr>
            <w:rFonts w:ascii="arial" w:eastAsia="arial" w:hAnsi="arial" w:cs="arial"/>
            <w:b w:val="0"/>
            <w:i/>
            <w:strike w:val="0"/>
            <w:noProof w:val="0"/>
            <w:color w:val="0077CC"/>
            <w:position w:val="0"/>
            <w:sz w:val="20"/>
            <w:u w:val="single"/>
            <w:vertAlign w:val="baseline"/>
          </w:rPr>
          <w:t>, 127 Fed. Cl. 308, 315 (2016)</w:t>
        </w:r>
      </w:hyperlink>
      <w:r>
        <w:rPr>
          <w:rFonts w:ascii="arial" w:eastAsia="arial" w:hAnsi="arial" w:cs="arial"/>
          <w:b w:val="0"/>
          <w:i w:val="0"/>
          <w:strike w:val="0"/>
          <w:noProof w:val="0"/>
          <w:color w:val="000000"/>
          <w:position w:val="0"/>
          <w:sz w:val="20"/>
          <w:u w:val="none"/>
          <w:vertAlign w:val="baseline"/>
        </w:rPr>
        <w:t xml:space="preserve"> ("[P]laintiff's claims based on RICO and other criminal code provisions are not within our subject-matter jurisdiction.").</w:t>
      </w:r>
    </w:p>
    <w:p>
      <w:pPr>
        <w:keepNext w:val="0"/>
        <w:widowControl w:val="0"/>
        <w:spacing w:before="240" w:after="0" w:line="260" w:lineRule="atLeast"/>
        <w:ind w:left="0" w:right="0" w:firstLine="0"/>
        <w:jc w:val="both"/>
      </w:pPr>
      <w:bookmarkStart w:id="47" w:name="Bookmark_para_9"/>
      <w:bookmarkEnd w:id="47"/>
      <w:bookmarkStart w:id="48" w:name="Bookmark_I2YV5F1DFW3000VNRYK0000G"/>
      <w:bookmarkEnd w:id="48"/>
      <w:bookmarkStart w:id="49" w:name="Bookmark_I5RT7HF92SF85M0030000400"/>
      <w:bookmarkEnd w:id="49"/>
      <w:r>
        <w:rPr>
          <w:rFonts w:ascii="arial" w:eastAsia="arial" w:hAnsi="arial" w:cs="arial"/>
          <w:b w:val="0"/>
          <w:i w:val="0"/>
          <w:strike w:val="0"/>
          <w:noProof w:val="0"/>
          <w:color w:val="000000"/>
          <w:position w:val="0"/>
          <w:sz w:val="20"/>
          <w:u w:val="none"/>
          <w:vertAlign w:val="baseline"/>
        </w:rPr>
        <w:t xml:space="preserve">Mr. Fast Horse's apparent allegation that the RICO conspiracy involving the United States implicates the Supreme Court's decision in </w:t>
      </w:r>
      <w:r>
        <w:rPr>
          <w:rFonts w:ascii="arial" w:eastAsia="arial" w:hAnsi="arial" w:cs="arial"/>
          <w:b w:val="0"/>
          <w:i w:val="0"/>
          <w:strike w:val="0"/>
          <w:noProof w:val="0"/>
          <w:color w:val="000000"/>
          <w:position w:val="0"/>
          <w:sz w:val="20"/>
          <w:u w:val="single"/>
          <w:vertAlign w:val="baseline"/>
        </w:rPr>
        <w:t>Brignoni-Ponce</w:t>
      </w:r>
      <w:r>
        <w:rPr>
          <w:rFonts w:ascii="arial" w:eastAsia="arial" w:hAnsi="arial" w:cs="arial"/>
          <w:b w:val="0"/>
          <w:i w:val="0"/>
          <w:strike w:val="0"/>
          <w:noProof w:val="0"/>
          <w:color w:val="000000"/>
          <w:position w:val="0"/>
          <w:sz w:val="20"/>
          <w:u w:val="none"/>
          <w:vertAlign w:val="baseline"/>
        </w:rPr>
        <w:t xml:space="preserve"> is of no help in establishing this Court's jurisdiction. That case involved a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challenge to motor vehicle stops by border patrol agents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made without suspicion of wrongdoing. </w:t>
      </w:r>
      <w:bookmarkStart w:id="50" w:name="Bookmark_I5RT7HF92SF85M0050000400"/>
      <w:bookmarkEnd w:id="5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1" w:name="Bookmark_I5RT7HF92SF85M0020000400"/>
      <w:bookmarkEnd w:id="51"/>
      <w:hyperlink r:id="rId10" w:history="1">
        <w:r>
          <w:rPr>
            <w:rFonts w:ascii="arial" w:eastAsia="arial" w:hAnsi="arial" w:cs="arial"/>
            <w:b w:val="0"/>
            <w:i/>
            <w:strike w:val="0"/>
            <w:noProof w:val="0"/>
            <w:color w:val="0077CC"/>
            <w:position w:val="0"/>
            <w:sz w:val="20"/>
            <w:u w:val="single"/>
            <w:vertAlign w:val="baseline"/>
          </w:rPr>
          <w:t>422 U.S. at 874-75</w:t>
        </w:r>
      </w:hyperlink>
      <w:r>
        <w:rPr>
          <w:rFonts w:ascii="arial" w:eastAsia="arial" w:hAnsi="arial" w:cs="arial"/>
          <w:b w:val="0"/>
          <w:i w:val="0"/>
          <w:strike w:val="0"/>
          <w:noProof w:val="0"/>
          <w:color w:val="000000"/>
          <w:position w:val="0"/>
          <w:sz w:val="20"/>
          <w:u w:val="none"/>
          <w:vertAlign w:val="baseline"/>
        </w:rPr>
        <w:t xml:space="preserve">. </w:t>
      </w:r>
      <w:bookmarkStart w:id="52" w:name="Bookmark_I5RT7HF92SF85M0050000400_2"/>
      <w:bookmarkEnd w:id="52"/>
      <w:r>
        <w:rPr>
          <w:rFonts w:ascii="arial" w:eastAsia="arial" w:hAnsi="arial" w:cs="arial"/>
          <w:b w:val="0"/>
          <w:i w:val="0"/>
          <w:strike w:val="0"/>
          <w:noProof w:val="0"/>
          <w:color w:val="000000"/>
          <w:position w:val="0"/>
          <w:sz w:val="20"/>
          <w:u w:val="none"/>
          <w:vertAlign w:val="baseline"/>
        </w:rPr>
        <w:t xml:space="preserve">This Court does not possess jurisdiction over claims seeking damages based on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3" w:name="Bookmark_I5RT7HF92SF85M0040000400"/>
      <w:bookmarkEnd w:id="53"/>
      <w:hyperlink r:id="rId27" w:history="1">
        <w:r>
          <w:rPr>
            <w:rFonts w:ascii="arial" w:eastAsia="arial" w:hAnsi="arial" w:cs="arial"/>
            <w:b w:val="0"/>
            <w:i/>
            <w:strike w:val="0"/>
            <w:noProof w:val="0"/>
            <w:color w:val="0077CC"/>
            <w:position w:val="0"/>
            <w:sz w:val="20"/>
            <w:u w:val="single"/>
            <w:vertAlign w:val="baseline"/>
          </w:rPr>
          <w:t>Brown v. United States</w:t>
        </w:r>
      </w:hyperlink>
      <w:hyperlink r:id="rId27" w:history="1">
        <w:r>
          <w:rPr>
            <w:rFonts w:ascii="arial" w:eastAsia="arial" w:hAnsi="arial" w:cs="arial"/>
            <w:b w:val="0"/>
            <w:i/>
            <w:strike w:val="0"/>
            <w:noProof w:val="0"/>
            <w:color w:val="0077CC"/>
            <w:position w:val="0"/>
            <w:sz w:val="20"/>
            <w:u w:val="single"/>
            <w:vertAlign w:val="baseline"/>
          </w:rPr>
          <w:t>, 105 F.3d 621, 623 (Fed. Cir. 1997)</w:t>
        </w:r>
      </w:hyperlink>
      <w:r>
        <w:rPr>
          <w:rFonts w:ascii="arial" w:eastAsia="arial" w:hAnsi="arial" w:cs="arial"/>
          <w:b w:val="0"/>
          <w:i w:val="0"/>
          <w:strike w:val="0"/>
          <w:noProof w:val="0"/>
          <w:color w:val="000000"/>
          <w:position w:val="0"/>
          <w:sz w:val="20"/>
          <w:u w:val="none"/>
          <w:vertAlign w:val="baseline"/>
        </w:rPr>
        <w:t xml:space="preserve"> ("Because monetary damages are not available for a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violation, the Court of Federal Claims does not have jurisdiction over a such a violation.").</w:t>
      </w:r>
    </w:p>
    <w:p>
      <w:pPr>
        <w:keepNext w:val="0"/>
        <w:widowControl w:val="0"/>
        <w:spacing w:before="200" w:after="0" w:line="260" w:lineRule="atLeast"/>
        <w:ind w:left="0" w:right="0" w:firstLine="0"/>
        <w:jc w:val="both"/>
      </w:pPr>
      <w:bookmarkStart w:id="54" w:name="Bookmark_para_10"/>
      <w:bookmarkEnd w:id="54"/>
      <w:bookmarkStart w:id="55" w:name="Bookmark_I5RT7HF92N1R7X0020000400"/>
      <w:bookmarkEnd w:id="55"/>
      <w:r>
        <w:rPr>
          <w:rFonts w:ascii="arial" w:eastAsia="arial" w:hAnsi="arial" w:cs="arial"/>
          <w:b w:val="0"/>
          <w:i w:val="0"/>
          <w:strike w:val="0"/>
          <w:noProof w:val="0"/>
          <w:color w:val="000000"/>
          <w:position w:val="0"/>
          <w:sz w:val="20"/>
          <w:u w:val="none"/>
          <w:vertAlign w:val="baseline"/>
        </w:rPr>
        <w:t xml:space="preserve">Mr. Fast Horse's complaint also contains what appear to be claims against several popes and other Vatican officials, as well as private parties and state and local entities that he identifies as "previous penal institutions" in which he was apparently previously incarcerated. The Court does not possess jurisdiction to consider claims based on allegations of misconduct by foreign governments and their agents, because the Court only has jurisdiction to hear claims against the United States. </w:t>
      </w:r>
      <w:bookmarkStart w:id="56" w:name="Bookmark_I5RT7HF92N1R7X0040000400"/>
      <w:bookmarkEnd w:id="56"/>
      <w:r>
        <w:rPr>
          <w:rFonts w:ascii="arial" w:eastAsia="arial" w:hAnsi="arial" w:cs="arial"/>
          <w:b w:val="0"/>
          <w:i w:val="0"/>
          <w:strike w:val="0"/>
          <w:noProof w:val="0"/>
          <w:color w:val="000000"/>
          <w:position w:val="0"/>
          <w:sz w:val="20"/>
          <w:u w:val="single"/>
          <w:vertAlign w:val="baseline"/>
        </w:rPr>
        <w:t xml:space="preserve">See, e.g., </w:t>
      </w:r>
      <w:bookmarkStart w:id="57" w:name="Bookmark_I5RT7HF92N1R7X0010000400"/>
      <w:bookmarkEnd w:id="57"/>
      <w:hyperlink r:id="rId28" w:history="1">
        <w:r>
          <w:rPr>
            <w:rFonts w:ascii="arial" w:eastAsia="arial" w:hAnsi="arial" w:cs="arial"/>
            <w:b w:val="0"/>
            <w:i/>
            <w:strike w:val="0"/>
            <w:noProof w:val="0"/>
            <w:color w:val="0077CC"/>
            <w:position w:val="0"/>
            <w:sz w:val="20"/>
            <w:u w:val="single"/>
            <w:vertAlign w:val="baseline"/>
          </w:rPr>
          <w:t>Gharb v. United States</w:t>
        </w:r>
      </w:hyperlink>
      <w:hyperlink r:id="rId28" w:history="1">
        <w:r>
          <w:rPr>
            <w:rFonts w:ascii="arial" w:eastAsia="arial" w:hAnsi="arial" w:cs="arial"/>
            <w:b w:val="0"/>
            <w:i/>
            <w:strike w:val="0"/>
            <w:noProof w:val="0"/>
            <w:color w:val="0077CC"/>
            <w:position w:val="0"/>
            <w:sz w:val="20"/>
            <w:u w:val="single"/>
            <w:vertAlign w:val="baseline"/>
          </w:rPr>
          <w:t>, No. 13-89C, 2013 U.S. Claims LEXIS 1897, 2013 WL 6383083, at *1 n.1 (Fed. Cl. Dec. 6, 2013)</w:t>
        </w:r>
      </w:hyperlink>
      <w:r>
        <w:rPr>
          <w:rFonts w:ascii="arial" w:eastAsia="arial" w:hAnsi="arial" w:cs="arial"/>
          <w:b w:val="0"/>
          <w:i w:val="0"/>
          <w:strike w:val="0"/>
          <w:noProof w:val="0"/>
          <w:color w:val="000000"/>
          <w:position w:val="0"/>
          <w:sz w:val="20"/>
          <w:u w:val="none"/>
          <w:vertAlign w:val="baseline"/>
        </w:rPr>
        <w:t xml:space="preserve"> ("Our court does not have jurisdiction over . . . claims against foreign governments."). </w:t>
      </w:r>
      <w:bookmarkStart w:id="58" w:name="Bookmark_I5RT7HF92N1R7X0040000400_2"/>
      <w:bookmarkEnd w:id="58"/>
      <w:r>
        <w:rPr>
          <w:rFonts w:ascii="arial" w:eastAsia="arial" w:hAnsi="arial" w:cs="arial"/>
          <w:b w:val="0"/>
          <w:i w:val="0"/>
          <w:strike w:val="0"/>
          <w:noProof w:val="0"/>
          <w:color w:val="000000"/>
          <w:position w:val="0"/>
          <w:sz w:val="20"/>
          <w:u w:val="none"/>
          <w:vertAlign w:val="baseline"/>
        </w:rPr>
        <w:t xml:space="preserve">It similarly lacks jurisdiction over claims brought against private parties. </w:t>
      </w:r>
      <w:bookmarkStart w:id="59" w:name="Bookmark_I5RT7HF92HM5S40010000400"/>
      <w:bookmarkEnd w:id="59"/>
      <w:r>
        <w:rPr>
          <w:rFonts w:ascii="arial" w:eastAsia="arial" w:hAnsi="arial" w:cs="arial"/>
          <w:b w:val="0"/>
          <w:i w:val="0"/>
          <w:strike w:val="0"/>
          <w:noProof w:val="0"/>
          <w:color w:val="000000"/>
          <w:position w:val="0"/>
          <w:sz w:val="20"/>
          <w:u w:val="single"/>
          <w:vertAlign w:val="baseline"/>
        </w:rPr>
        <w:t xml:space="preserve">See e.g., </w:t>
      </w:r>
      <w:bookmarkStart w:id="60" w:name="Bookmark_I5RT7HF92N1R7X0030000400"/>
      <w:bookmarkEnd w:id="60"/>
      <w:hyperlink r:id="rId29" w:history="1">
        <w:r>
          <w:rPr>
            <w:rFonts w:ascii="arial" w:eastAsia="arial" w:hAnsi="arial" w:cs="arial"/>
            <w:b w:val="0"/>
            <w:i/>
            <w:strike w:val="0"/>
            <w:noProof w:val="0"/>
            <w:color w:val="0077CC"/>
            <w:position w:val="0"/>
            <w:sz w:val="20"/>
            <w:u w:val="single"/>
            <w:vertAlign w:val="baseline"/>
          </w:rPr>
          <w:t>Thompson v. United States</w:t>
        </w:r>
      </w:hyperlink>
      <w:hyperlink r:id="rId29" w:history="1">
        <w:r>
          <w:rPr>
            <w:rFonts w:ascii="arial" w:eastAsia="arial" w:hAnsi="arial" w:cs="arial"/>
            <w:b w:val="0"/>
            <w:i/>
            <w:strike w:val="0"/>
            <w:noProof w:val="0"/>
            <w:color w:val="0077CC"/>
            <w:position w:val="0"/>
            <w:sz w:val="20"/>
            <w:u w:val="single"/>
            <w:vertAlign w:val="baseline"/>
          </w:rPr>
          <w:t>, 99 Fed. Cl. 21, 25 (2011)</w:t>
        </w:r>
      </w:hyperlink>
      <w:r>
        <w:rPr>
          <w:rFonts w:ascii="arial" w:eastAsia="arial" w:hAnsi="arial" w:cs="arial"/>
          <w:b w:val="0"/>
          <w:i w:val="0"/>
          <w:strike w:val="0"/>
          <w:noProof w:val="0"/>
          <w:color w:val="000000"/>
          <w:position w:val="0"/>
          <w:sz w:val="20"/>
          <w:u w:val="none"/>
          <w:vertAlign w:val="baseline"/>
        </w:rPr>
        <w:t xml:space="preserve"> (the Court "does not have jurisdiction over plaintiffs' breach of contract and fraud allegations against private parties"). </w:t>
      </w:r>
      <w:bookmarkStart w:id="61" w:name="Bookmark_I5RT7HF92HM5S40010000400_2"/>
      <w:bookmarkEnd w:id="61"/>
      <w:r>
        <w:rPr>
          <w:rFonts w:ascii="arial" w:eastAsia="arial" w:hAnsi="arial" w:cs="arial"/>
          <w:b w:val="0"/>
          <w:i w:val="0"/>
          <w:strike w:val="0"/>
          <w:noProof w:val="0"/>
          <w:color w:val="000000"/>
          <w:position w:val="0"/>
          <w:sz w:val="20"/>
          <w:u w:val="none"/>
          <w:vertAlign w:val="baseline"/>
        </w:rPr>
        <w:t xml:space="preserve">And claims against state and local government entities are also outside of this Court's jurisdiction. </w:t>
      </w:r>
      <w:r>
        <w:rPr>
          <w:rFonts w:ascii="arial" w:eastAsia="arial" w:hAnsi="arial" w:cs="arial"/>
          <w:b w:val="0"/>
          <w:i w:val="0"/>
          <w:strike w:val="0"/>
          <w:noProof w:val="0"/>
          <w:color w:val="000000"/>
          <w:position w:val="0"/>
          <w:sz w:val="20"/>
          <w:u w:val="single"/>
          <w:vertAlign w:val="baseline"/>
        </w:rPr>
        <w:t xml:space="preserve">See </w:t>
      </w:r>
      <w:bookmarkStart w:id="62" w:name="Bookmark_I5RT7HF92N1R7X0050000400"/>
      <w:bookmarkEnd w:id="62"/>
      <w:hyperlink r:id="rId30" w:history="1">
        <w:r>
          <w:rPr>
            <w:rFonts w:ascii="arial" w:eastAsia="arial" w:hAnsi="arial" w:cs="arial"/>
            <w:b w:val="0"/>
            <w:i/>
            <w:strike w:val="0"/>
            <w:noProof w:val="0"/>
            <w:color w:val="0077CC"/>
            <w:position w:val="0"/>
            <w:sz w:val="20"/>
            <w:u w:val="single"/>
            <w:vertAlign w:val="baseline"/>
          </w:rPr>
          <w:t>Krukowski v. United States</w:t>
        </w:r>
      </w:hyperlink>
      <w:hyperlink r:id="rId30" w:history="1">
        <w:r>
          <w:rPr>
            <w:rFonts w:ascii="arial" w:eastAsia="arial" w:hAnsi="arial" w:cs="arial"/>
            <w:b w:val="0"/>
            <w:i/>
            <w:strike w:val="0"/>
            <w:noProof w:val="0"/>
            <w:color w:val="0077CC"/>
            <w:position w:val="0"/>
            <w:sz w:val="20"/>
            <w:u w:val="single"/>
            <w:vertAlign w:val="baseline"/>
          </w:rPr>
          <w:t>, 129 Fed. Cl. 440, 443 (2016)</w:t>
        </w:r>
      </w:hyperlink>
      <w:r>
        <w:rPr>
          <w:rFonts w:ascii="arial" w:eastAsia="arial" w:hAnsi="arial" w:cs="arial"/>
          <w:b w:val="0"/>
          <w:i w:val="0"/>
          <w:strike w:val="0"/>
          <w:noProof w:val="0"/>
          <w:color w:val="000000"/>
          <w:position w:val="0"/>
          <w:sz w:val="20"/>
          <w:u w:val="none"/>
          <w:vertAlign w:val="baseline"/>
        </w:rPr>
        <w:t xml:space="preserve"> (dismissing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complaint asserting claims against local government officials for lack of jurisdiction).</w:t>
      </w:r>
    </w:p>
    <w:p>
      <w:pPr>
        <w:keepNext w:val="0"/>
        <w:widowControl w:val="0"/>
        <w:spacing w:before="240" w:after="0" w:line="260" w:lineRule="atLeast"/>
        <w:ind w:left="0" w:right="0" w:firstLine="0"/>
        <w:jc w:val="both"/>
      </w:pPr>
      <w:bookmarkStart w:id="63" w:name="Bookmark_para_11"/>
      <w:bookmarkEnd w:id="63"/>
      <w:bookmarkStart w:id="64" w:name="Bookmark_I5RT7HF92HM5S40030000400"/>
      <w:bookmarkEnd w:id="64"/>
      <w:r>
        <w:rPr>
          <w:rFonts w:ascii="arial" w:eastAsia="arial" w:hAnsi="arial" w:cs="arial"/>
          <w:b w:val="0"/>
          <w:i w:val="0"/>
          <w:strike w:val="0"/>
          <w:noProof w:val="0"/>
          <w:color w:val="000000"/>
          <w:position w:val="0"/>
          <w:sz w:val="20"/>
          <w:u w:val="none"/>
          <w:vertAlign w:val="baseline"/>
        </w:rPr>
        <w:t xml:space="preserve">Finally, as discussed above, Mr. Fast Horse requests a forensic accounting of the unidentified bonds. The Court of Federal Claims, however, lacks jurisdiction to grant such equitable relief absent a "concurrent colorable claim for monetary recovery." </w:t>
      </w:r>
      <w:bookmarkStart w:id="65" w:name="Bookmark_I5RT7HF92HM5S40020000400"/>
      <w:bookmarkEnd w:id="65"/>
      <w:hyperlink r:id="rId31" w:history="1">
        <w:r>
          <w:rPr>
            <w:rFonts w:ascii="arial" w:eastAsia="arial" w:hAnsi="arial" w:cs="arial"/>
            <w:b w:val="0"/>
            <w:i/>
            <w:strike w:val="0"/>
            <w:noProof w:val="0"/>
            <w:color w:val="0077CC"/>
            <w:position w:val="0"/>
            <w:sz w:val="20"/>
            <w:u w:val="single"/>
            <w:vertAlign w:val="baseline"/>
          </w:rPr>
          <w:t>Wheeler v. United States</w:t>
        </w:r>
      </w:hyperlink>
      <w:hyperlink r:id="rId31" w:history="1">
        <w:r>
          <w:rPr>
            <w:rFonts w:ascii="arial" w:eastAsia="arial" w:hAnsi="arial" w:cs="arial"/>
            <w:b w:val="0"/>
            <w:i/>
            <w:strike w:val="0"/>
            <w:noProof w:val="0"/>
            <w:color w:val="0077CC"/>
            <w:position w:val="0"/>
            <w:sz w:val="20"/>
            <w:u w:val="single"/>
            <w:vertAlign w:val="baseline"/>
          </w:rPr>
          <w:t>, 11 F.3d 156, 159 (Fed. Cir. 1993)</w:t>
        </w:r>
      </w:hyperlink>
      <w:r>
        <w:rPr>
          <w:rFonts w:ascii="arial" w:eastAsia="arial" w:hAnsi="arial" w:cs="arial"/>
          <w:b w:val="0"/>
          <w:i w:val="0"/>
          <w:strike w:val="0"/>
          <w:noProof w:val="0"/>
          <w:color w:val="000000"/>
          <w:position w:val="0"/>
          <w:sz w:val="20"/>
          <w:u w:val="none"/>
          <w:vertAlign w:val="baseline"/>
        </w:rPr>
        <w:t xml:space="preserve"> (quoting </w:t>
      </w:r>
      <w:bookmarkStart w:id="66" w:name="Bookmark_I5RT7HF92HM5S40040000400"/>
      <w:bookmarkEnd w:id="66"/>
      <w:hyperlink r:id="rId32" w:history="1">
        <w:r>
          <w:rPr>
            <w:rFonts w:ascii="arial" w:eastAsia="arial" w:hAnsi="arial" w:cs="arial"/>
            <w:b w:val="0"/>
            <w:i/>
            <w:strike w:val="0"/>
            <w:noProof w:val="0"/>
            <w:color w:val="0077CC"/>
            <w:position w:val="0"/>
            <w:sz w:val="20"/>
            <w:u w:val="single"/>
            <w:vertAlign w:val="baseline"/>
          </w:rPr>
          <w:t>Bobula v. U.S. Dep't of Justice</w:t>
        </w:r>
      </w:hyperlink>
      <w:hyperlink r:id="rId32" w:history="1">
        <w:r>
          <w:rPr>
            <w:rFonts w:ascii="arial" w:eastAsia="arial" w:hAnsi="arial" w:cs="arial"/>
            <w:b w:val="0"/>
            <w:i/>
            <w:strike w:val="0"/>
            <w:noProof w:val="0"/>
            <w:color w:val="0077CC"/>
            <w:position w:val="0"/>
            <w:sz w:val="20"/>
            <w:u w:val="single"/>
            <w:vertAlign w:val="baseline"/>
          </w:rPr>
          <w:t>, 970 F.2d 854, 859 (Fed.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7" w:name="Bookmark_I5RT7HF92SF85N0010000400"/>
      <w:bookmarkEnd w:id="67"/>
      <w:hyperlink r:id="rId33" w:history="1">
        <w:r>
          <w:rPr>
            <w:rFonts w:ascii="arial" w:eastAsia="arial" w:hAnsi="arial" w:cs="arial"/>
            <w:b w:val="0"/>
            <w:i/>
            <w:strike w:val="0"/>
            <w:noProof w:val="0"/>
            <w:color w:val="0077CC"/>
            <w:position w:val="0"/>
            <w:sz w:val="20"/>
            <w:u w:val="single"/>
            <w:vertAlign w:val="baseline"/>
          </w:rPr>
          <w:t>James v. Caldera</w:t>
        </w:r>
      </w:hyperlink>
      <w:hyperlink r:id="rId33" w:history="1">
        <w:r>
          <w:rPr>
            <w:rFonts w:ascii="arial" w:eastAsia="arial" w:hAnsi="arial" w:cs="arial"/>
            <w:b w:val="0"/>
            <w:i/>
            <w:strike w:val="0"/>
            <w:noProof w:val="0"/>
            <w:color w:val="0077CC"/>
            <w:position w:val="0"/>
            <w:sz w:val="20"/>
            <w:u w:val="single"/>
            <w:vertAlign w:val="baseline"/>
          </w:rPr>
          <w:t>, 159 F.3d 573, 580 (Fed. Cir. 1998)</w:t>
        </w:r>
      </w:hyperlink>
      <w:r>
        <w:rPr>
          <w:rFonts w:ascii="arial" w:eastAsia="arial" w:hAnsi="arial" w:cs="arial"/>
          <w:b w:val="0"/>
          <w:i w:val="0"/>
          <w:strike w:val="0"/>
          <w:noProof w:val="0"/>
          <w:color w:val="000000"/>
          <w:position w:val="0"/>
          <w:sz w:val="20"/>
          <w:u w:val="none"/>
          <w:vertAlign w:val="baseline"/>
        </w:rPr>
        <w:t xml:space="preserve"> (holding that the "Court of Federal Claims has no power to grant affirmative non-monetary relief unless it is tied and subordinate to a money judgment" (quotation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68" w:name="Bookmark_para_12"/>
      <w:bookmarkEnd w:id="68"/>
      <w:r>
        <w:rPr>
          <w:rFonts w:ascii="arial" w:eastAsia="arial" w:hAnsi="arial" w:cs="arial"/>
          <w:b w:val="0"/>
          <w:i w:val="0"/>
          <w:strike w:val="0"/>
          <w:noProof w:val="0"/>
          <w:color w:val="000000"/>
          <w:position w:val="0"/>
          <w:sz w:val="20"/>
          <w:u w:val="none"/>
          <w:vertAlign w:val="baseline"/>
        </w:rPr>
        <w:t xml:space="preserve">Based on the foregoing, the government's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the complaint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w:t>
      </w:r>
    </w:p>
    <w:p>
      <w:pPr>
        <w:keepNext w:val="0"/>
        <w:widowControl w:val="0"/>
        <w:spacing w:before="200" w:after="0" w:line="260" w:lineRule="atLeast"/>
        <w:ind w:left="0" w:right="0" w:firstLine="0"/>
        <w:jc w:val="both"/>
      </w:pPr>
      <w:bookmarkStart w:id="69" w:name="Bookmark_para_13"/>
      <w:bookmarkEnd w:id="6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14"/>
      <w:bookmarkEnd w:id="70"/>
      <w:r>
        <w:rPr>
          <w:rFonts w:ascii="arial" w:eastAsia="arial" w:hAnsi="arial" w:cs="arial"/>
          <w:b w:val="0"/>
          <w:i w:val="0"/>
          <w:strike w:val="0"/>
          <w:noProof w:val="0"/>
          <w:color w:val="000000"/>
          <w:position w:val="0"/>
          <w:sz w:val="20"/>
          <w:u w:val="none"/>
          <w:vertAlign w:val="baseline"/>
        </w:rPr>
        <w:t>/s/ Elaine D. Kaplan</w:t>
      </w:r>
    </w:p>
    <w:p>
      <w:pPr>
        <w:keepNext w:val="0"/>
        <w:widowControl w:val="0"/>
        <w:spacing w:before="200" w:after="0" w:line="260" w:lineRule="atLeast"/>
        <w:ind w:left="0" w:right="0" w:firstLine="0"/>
        <w:jc w:val="both"/>
      </w:pPr>
      <w:bookmarkStart w:id="71" w:name="Bookmark_para_15"/>
      <w:bookmarkEnd w:id="71"/>
      <w:r>
        <w:rPr>
          <w:rFonts w:ascii="arial" w:eastAsia="arial" w:hAnsi="arial" w:cs="arial"/>
          <w:b w:val="0"/>
          <w:i w:val="0"/>
          <w:strike w:val="0"/>
          <w:noProof w:val="0"/>
          <w:color w:val="000000"/>
          <w:position w:val="0"/>
          <w:sz w:val="20"/>
          <w:u w:val="none"/>
          <w:vertAlign w:val="baseline"/>
        </w:rPr>
        <w:t>ELAINE D. KAPLAN</w:t>
      </w:r>
    </w:p>
    <w:p>
      <w:pPr>
        <w:keepNext w:val="0"/>
        <w:widowControl w:val="0"/>
        <w:spacing w:before="200" w:after="0" w:line="260" w:lineRule="atLeast"/>
        <w:ind w:left="0" w:right="0" w:firstLine="0"/>
        <w:jc w:val="both"/>
      </w:pPr>
      <w:bookmarkStart w:id="72" w:name="Bookmark_para_16"/>
      <w:bookmarkEnd w:id="72"/>
      <w:r>
        <w:rPr>
          <w:rFonts w:ascii="arial" w:eastAsia="arial" w:hAnsi="arial" w:cs="arial"/>
          <w:b w:val="0"/>
          <w:i w:val="0"/>
          <w:strike w:val="0"/>
          <w:noProof w:val="0"/>
          <w:color w:val="000000"/>
          <w:position w:val="0"/>
          <w:sz w:val="20"/>
          <w:u w:val="none"/>
          <w:vertAlign w:val="baseline"/>
        </w:rPr>
        <w:t>Judge</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Horse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3S4X-BDV0-003B-S1TF-00000-00&amp;context=" TargetMode="External" /><Relationship Id="rId11" Type="http://schemas.openxmlformats.org/officeDocument/2006/relationships/hyperlink" Target="https://advance.lexis.com/api/document?collection=statutes-legislation&amp;id=urn:contentItem:5GYC-2661-6N19-F0J7-00000-00&amp;context=" TargetMode="External" /><Relationship Id="rId12" Type="http://schemas.openxmlformats.org/officeDocument/2006/relationships/hyperlink" Target="https://advance.lexis.com/api/document?collection=cases&amp;id=urn:contentItem:83DC-SVV1-652G-21JN-00000-00&amp;context=" TargetMode="External" /><Relationship Id="rId13" Type="http://schemas.openxmlformats.org/officeDocument/2006/relationships/hyperlink" Target="https://advance.lexis.com/api/document?collection=cases&amp;id=urn:contentItem:3S42-6720-003N-417T-00000-00&amp;context=" TargetMode="External" /><Relationship Id="rId14" Type="http://schemas.openxmlformats.org/officeDocument/2006/relationships/hyperlink" Target="https://advance.lexis.com/api/document?collection=cases&amp;id=urn:contentItem:3S4X-DB70-003B-S53V-00000-00&amp;context=" TargetMode="External" /><Relationship Id="rId15" Type="http://schemas.openxmlformats.org/officeDocument/2006/relationships/hyperlink" Target="https://advance.lexis.com/api/document?collection=cases&amp;id=urn:contentItem:4BK9-CTW0-0004-S1W1-00000-00&amp;context=" TargetMode="External" /><Relationship Id="rId16" Type="http://schemas.openxmlformats.org/officeDocument/2006/relationships/hyperlink" Target="https://advance.lexis.com/api/document?collection=cases&amp;id=urn:contentItem:4C47-B850-003B-901B-00000-00&amp;context=" TargetMode="External" /><Relationship Id="rId17" Type="http://schemas.openxmlformats.org/officeDocument/2006/relationships/hyperlink" Target="https://advance.lexis.com/api/document?collection=cases&amp;id=urn:contentItem:4S9P-7KS0-TX4N-G0XV-00000-00&amp;context=" TargetMode="External" /><Relationship Id="rId18" Type="http://schemas.openxmlformats.org/officeDocument/2006/relationships/hyperlink" Target="https://advance.lexis.com/api/document?collection=cases&amp;id=urn:contentItem:4FNG-HDP0-003B-9299-00000-00&amp;context=" TargetMode="External" /><Relationship Id="rId19" Type="http://schemas.openxmlformats.org/officeDocument/2006/relationships/hyperlink" Target="https://advance.lexis.com/api/document?collection=statutes-legislation&amp;id=urn:contentItem:4YF7-GNX1-NRF4-43G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0J-9VG0-003B-90WW-00000-00&amp;context=" TargetMode="External" /><Relationship Id="rId21" Type="http://schemas.openxmlformats.org/officeDocument/2006/relationships/hyperlink" Target="https://advance.lexis.com/api/document?collection=cases&amp;id=urn:contentItem:4NHV-9860-0004-S1GN-00000-00&amp;context=" TargetMode="External" /><Relationship Id="rId22" Type="http://schemas.openxmlformats.org/officeDocument/2006/relationships/hyperlink" Target="https://advance.lexis.com/api/document?collection=cases&amp;id=urn:contentItem:5PKK-RGD1-JJ6S-6217-00000-00&amp;context=" TargetMode="External" /><Relationship Id="rId23" Type="http://schemas.openxmlformats.org/officeDocument/2006/relationships/hyperlink" Target="https://advance.lexis.com/api/document?collection=cases&amp;id=urn:contentItem:5D13-8NC1-F04B-X04J-00000-00&amp;context=" TargetMode="External" /><Relationship Id="rId24" Type="http://schemas.openxmlformats.org/officeDocument/2006/relationships/hyperlink" Target="https://advance.lexis.com/api/document?collection=statutes-legislation&amp;id=urn:contentItem:4YF7-GW51-NRF4-436R-00000-00&amp;context=" TargetMode="External" /><Relationship Id="rId25" Type="http://schemas.openxmlformats.org/officeDocument/2006/relationships/hyperlink" Target="https://advance.lexis.com/api/document?collection=cases&amp;id=urn:contentItem:5NST-H521-F04B-X1SK-00000-00&amp;context=" TargetMode="External" /><Relationship Id="rId26" Type="http://schemas.openxmlformats.org/officeDocument/2006/relationships/hyperlink" Target="https://advance.lexis.com/api/document?collection=cases&amp;id=urn:contentItem:5K5F-J0R1-F04B-X0JR-00000-00&amp;context=" TargetMode="External" /><Relationship Id="rId27" Type="http://schemas.openxmlformats.org/officeDocument/2006/relationships/hyperlink" Target="https://advance.lexis.com/api/document?collection=cases&amp;id=urn:contentItem:3S4V-KHW0-003N-42SR-00000-00&amp;context=" TargetMode="External" /><Relationship Id="rId28" Type="http://schemas.openxmlformats.org/officeDocument/2006/relationships/hyperlink" Target="https://advance.lexis.com/api/document?collection=cases&amp;id=urn:contentItem:5B0J-VJ61-F04B-X1JY-00000-00&amp;context=" TargetMode="External" /><Relationship Id="rId29" Type="http://schemas.openxmlformats.org/officeDocument/2006/relationships/hyperlink" Target="https://advance.lexis.com/api/document?collection=cases&amp;id=urn:contentItem:82NH-G661-652G-B05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M9D-NRX1-F04B-X033-00000-00&amp;context=" TargetMode="External" /><Relationship Id="rId31" Type="http://schemas.openxmlformats.org/officeDocument/2006/relationships/hyperlink" Target="https://advance.lexis.com/api/document?collection=cases&amp;id=urn:contentItem:3S4V-MVH0-003N-42NK-00000-00&amp;context=" TargetMode="External" /><Relationship Id="rId32" Type="http://schemas.openxmlformats.org/officeDocument/2006/relationships/hyperlink" Target="https://advance.lexis.com/api/document?collection=cases&amp;id=urn:contentItem:3S4V-N720-003N-406P-00000-00&amp;context=" TargetMode="External" /><Relationship Id="rId33" Type="http://schemas.openxmlformats.org/officeDocument/2006/relationships/hyperlink" Target="https://advance.lexis.com/api/document?collection=cases&amp;id=urn:contentItem:3TYW-V660-003B-90PD-00000-00&amp;context=" TargetMode="Externa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cases&amp;id=urn:contentItem:5RKB-S9W1-FFFC-B26V-00000-00&amp;context=" TargetMode="External" /><Relationship Id="rId8" Type="http://schemas.openxmlformats.org/officeDocument/2006/relationships/hyperlink" Target="https://advance.lexis.com/api/document?collection=statutes-legislation&amp;id=urn:contentItem:4YF7-GTP1-NRF4-44B7-00000-00&amp;context=" TargetMode="External" /><Relationship Id="rId9" Type="http://schemas.openxmlformats.org/officeDocument/2006/relationships/hyperlink" Target="https://advance.lexis.com/api/document?collection=statutes-legislation&amp;id=urn:contentItem:4YF7-GTW1-NRF4-40P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BellSouth Telecomm. LLC v. Calls Plus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