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Aggrenox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2015, Decided; March 23,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3:14-md-2516 (SRU)</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94 F. Supp. 3d 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35634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AGGRENOX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Clarified by, Certificate of appealability granted </w:t>
      </w:r>
      <w:hyperlink r:id="rId11" w:history="1">
        <w:r>
          <w:rPr>
            <w:rFonts w:ascii="arial" w:eastAsia="arial" w:hAnsi="arial" w:cs="arial"/>
            <w:b w:val="0"/>
            <w:i/>
            <w:strike w:val="0"/>
            <w:noProof w:val="0"/>
            <w:color w:val="0077CC"/>
            <w:position w:val="0"/>
            <w:sz w:val="20"/>
            <w:u w:val="single"/>
            <w:vertAlign w:val="baseline"/>
          </w:rPr>
          <w:t xml:space="preserve">In re Aggrenox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94516 (D. Conn., July 21,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199 F. Supp. 3d 662, 2016 U.S. Dist. LEXIS 104270 (D. Conn., Aug. 8,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Dismissed without prejudice by, in part </w:t>
      </w:r>
      <w:hyperlink r:id="rId13" w:history="1">
        <w:r>
          <w:rPr>
            <w:rFonts w:ascii="arial" w:eastAsia="arial" w:hAnsi="arial" w:cs="arial"/>
            <w:b w:val="0"/>
            <w:i/>
            <w:strike w:val="0"/>
            <w:noProof w:val="0"/>
            <w:color w:val="0077CC"/>
            <w:position w:val="0"/>
            <w:sz w:val="20"/>
            <w:u w:val="single"/>
            <w:vertAlign w:val="baseline"/>
          </w:rPr>
          <w:t xml:space="preserve">In re Aggrenox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2016 U.S. Dist. LEXIS 104647 (D. Conn., Aug. 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certification granted by, Settled by, Motion granted by </w:t>
      </w:r>
      <w:hyperlink r:id="rId14" w:history="1">
        <w:r>
          <w:rPr>
            <w:rFonts w:ascii="arial" w:eastAsia="arial" w:hAnsi="arial" w:cs="arial"/>
            <w:b w:val="0"/>
            <w:i/>
            <w:strike w:val="0"/>
            <w:noProof w:val="0"/>
            <w:color w:val="0077CC"/>
            <w:position w:val="0"/>
            <w:sz w:val="20"/>
            <w:u w:val="single"/>
            <w:vertAlign w:val="baseline"/>
          </w:rPr>
          <w:t xml:space="preserve">In re Aggrenox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2017 U.S. Dist. LEXIS 165155 (D. Conn., Sept.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Motion denied by </w:t>
      </w:r>
      <w:hyperlink r:id="rId15" w:history="1">
        <w:r>
          <w:rPr>
            <w:rFonts w:ascii="arial" w:eastAsia="arial" w:hAnsi="arial" w:cs="arial"/>
            <w:b w:val="0"/>
            <w:i/>
            <w:strike w:val="0"/>
            <w:noProof w:val="0"/>
            <w:color w:val="0077CC"/>
            <w:position w:val="0"/>
            <w:sz w:val="20"/>
            <w:u w:val="single"/>
            <w:vertAlign w:val="baseline"/>
          </w:rPr>
          <w:t xml:space="preserve">In re Aggrenox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2017 U.S. Dist. LEXIS 172231 (D. Conn., Oct. 18,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6" w:history="1">
        <w:r>
          <w:rPr>
            <w:rFonts w:ascii="arial" w:eastAsia="arial" w:hAnsi="arial" w:cs="arial"/>
            <w:b w:val="0"/>
            <w:i/>
            <w:strike w:val="0"/>
            <w:noProof w:val="0"/>
            <w:color w:val="0077CC"/>
            <w:position w:val="0"/>
            <w:sz w:val="20"/>
            <w:u w:val="single"/>
            <w:vertAlign w:val="baseline"/>
          </w:rPr>
          <w:t xml:space="preserve">In re Aggrenox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2017 U.S. Dist. LEXIS 196151 (D. Conn., Nov. 29,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vertAlign w:val="baseline"/>
          </w:rPr>
          <w:t>FTC v. Boehringer Ingelheim Pharms., Inc., 286 F.R.D. 101, 2012 U.S. Dist. LEXIS 138854 (D.D.C., Sept. 27,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 generic, purchasers, indirect, overcharges,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invalidation, indirect-purchaser, anticompetitive, allegations, motion to dismiss, manufacturer, plaintiffs', unjustified, monopoly, Pharmaceuticals, defendants', personal jurisdiction, pleadings, effects, patent-holder, challenger, courts, quotation, services, prices, settlement agreement, infringement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 multidistrict case involving the question of whether a patent-litigation settlement in a Hatch-Waxman Act case—that is, an agreement to settle litigation that had put the legitimacy of a pharmaceutical patent's grant of monopoly at issue—constituted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timely under </w:t>
      </w:r>
      <w:hyperlink r:id="rId18"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for all overcharges alleged to have been incurred within the four years preceding the filing of the claims; [2]-Although several complaints pled relatively bare allegations of the patent's vulnerability and the hypothetical earlier entry of a generic if not for the settlement agreement, the sparsity of those allegations did not fatally undermine the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Supreme Court's Actavis decision because plaintiffs did not fail to sufficiently plead a large and unjustified reverse payment.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motions to dismiss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 plaintiff bears the burden of showing that the court has personal jurisdiction over each defendant. Where there has been no discovery on jurisdictional issues and the court is relying solely on the parties' pleadings and affidavits, the plaintiff need only make a prima facie showing that the court possesses personal jurisdiction over the defendant.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motion to dismiss for failure to state a claim pursuant to </w:t>
      </w:r>
      <w:hyperlink r:id="rId2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 designed merely to assess the legal feasibility of a complaint, not to assay the weight of evidence which might be offered in support thereof. When deciding a motion to dismiss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accept the material facts alleged in the complaint as true, draw all reasonable inferences in favor of the plaintiffs, and decide whether it is plausible that plaintiffs have a valid claim for relief.</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Under Twombly, factual allegations must be enough to raise a right to relief above the speculative level, and assert a cause of action with enough heft to show entitlement to relief and enough facts to state a claim to relief that is plausible on its face. The plausibility standard set forth in Twombly and Iqbal obligates the plaintiff to provide the grounds of his entitlement to relief through more than labels and conclusions, and a formulaic recitation of the elements of a cause of action. Plausibility at the pleading stage is nonetheless distinct from probability, and a well-pleaded complaint may proceed even if it strikes a savvy judge that actual proof of the claims is improbable, and recovery is very remote and unlikely.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statute of limitations for Sherman Act claims is four years from when the cause of action accrued, </w:t>
      </w:r>
      <w:hyperlink r:id="rId18"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generally accrues when a defendant commits an act that injures a plaintiff's business.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For purposes of Sherman Act violations, a purchaser suing a monopolist for overcharges paid within the previous four years may satisfy the conduct prerequisite to recovery by pointing to anticompetitive actions taken before the limitations period. If a party commits an initial unlawful act that allows it to maintain market control and overcharge purchasers for a period longer than four years, purchasers maintain a right of action for any overcharges paid within the four years prior to their filings.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In the context of settlements in Hatch-Waxman Act patent cases, large and unjustified reverse payments that can bring with them the risk of significant anticompetitive effects can bring those effects regardless of the particular form the transfer of value takes and thus are not limited to cash payments. A settlement agreement may be very simple or tremendously complex, and it may involve all manner of consideration; and if, when viewed holistically, it effects a large and unexplained net transfer of value from the patent-holder to the alleged patent-infringer, it may fairly be called a reverse-payment settlement. Such a settlement, under the Supreme Court's Actavis decision, is not ipso facto unlawful: the parties to the settlement might be able to explain the apparent "missing" value for the patent-holder in a procompetitive way—and they will have an opportunity to do so under the rule-of-reason framework—in which case the reverse payment may turn out to be justified, or to be entirely illusory. But if otherwise unexplained, it likely seeks to prevent the risk of competition. And that consequence constitutes the relevant anticompetitive harm.</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Under the Supreme Court's Actavis decision,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In the context of settlements in Hatch-Waxman Act patent cases, payments smaller than avoided litigation costs are presumptively not large and unexplained under the Supreme Court's Actavis decision, and represent a de facto safe harbor, and also payments exceeding avoided litigation costs are not automatically deemed unlawful for that reason alone. Even if the payments exceed avoided litigation costs, the Actavis factors—the size of the payments, their scale in relation to litigation costs, their independence from other services for which they might be fair consideration, and any other convincing justification—still matter. But it cannot be concluded that the size of the reverse payments in relation to the anticipated value of the patent is dispositive of the lawfulness of the agreement. Large reverse payments that are not particularly large in relation to the value of the patent may show confidence in the patent, but if they represent payment to avoid the risk of invalidation, then they still run afoul of Actavis.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Rule-of-reason analysis proceeds in three steps: First, the plaintiff bears the initial burden of showing that the defendant's conduct had an actual adverse effect on competition as a whole in the relevant market. If plaintiff satisfies this burden, the burden then shifts to defendant to offer evidence that its conduct had pro-competitive effects. If defendant is able to offer such proof, the burden shifts back to plaintiff, who must prove that any legitimate competitive effects could have been achieved through less restrictive alternatives.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Monopoly power is a necessary element of Sherman Act claims,  and the Supreme court has defined that power as the power to control prices or exclude competition. It is correct, however, that when direct evidence is available that a party profitably charges supra-competitive prices, the existence of market power can be established from that fact alone.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as a general rule, the process of defining the relevant product market requires consideration of cross-elasticity of demand, because the boundaries of a particular product market are determined by the reasonable interchangeability of use or the cross-elasticity of demand between the product itself and substitutes for it. This is usually a fact-intensive inquiry, and for that reason courts hesitate to grant motions to dismiss for failure to plead a relevant product market. The Supreme Court has been clear that market definitions can sometimes only be determined after a factual inquiry into the commercial realities faced by consumers, and that in some instances one brand of a product can constitute a separate market. Perhaps because of the peculiar features of pharmaceutical markets, the Second Circuit has even held that the relevant market can sometimes be limited to the generic of a particular drug, excluding the chemically-identical brand-name version.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It is clearly the law in the Second Circuit that anticompetitive intent can be inferred from anticompetitive conduct. If a settlement included a large and unjustified reverse payment that was made in order to avoid the risk of patent invalidation, then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may attach under the Supreme Court's Actavis decision; and that particular anticompetitive harm is necessarily intentional (even if intent is proved by inference).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prove fraudulent concealment sufficient to toll the running of the statute of limitations if he establishes (1) that the defendant concealed from him the existence of his cause of action, (2) that he remained in ignorance of that cause of action until some point within four years of the commencement of his action, and (3) that his continuing ignorance was not attributable to lack of diligence on his part. Concealment can be shown in one of two ways: either by demonstrating that the defendant took affirmative steps to prevent discovery of the claim or injury, or by demonstrating that the violation itself was "self-concealing"—that is, by showing that it is the type of violation that by its very nature is designed to appear innocent, essentially establishing fraud-by-omission. As a claim of fraud, the allegations that provide the factual basis for fraudulent concealment must meet </w:t>
      </w:r>
      <w:hyperlink r:id="rId3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's heightened pleading standard.</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Supreme Court acknowledged in Gratz that when there is "variation" between the claims of named plaintiffs and absent class members, there is a question whether the relevance of this variation is a matter of Article III standing at all or whether it goes to the propriety of class certification pursuant to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and that there is tension in prior cases in this regard. The issue appears straightforward and one would expect it to be well settled; however, neither assumption is entirely true.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The Second Circuit in NECA-IBEW announced a broad standard for class standing, consonant with the Supreme Court's Gratz decision, that turns on whether the "same set of concerns" is implicated by the defendants' allegedly injurious conduct toward the named plaintiffs and toward the absent class members. Still, there is a fundamental analytical distinction between class standing and Article III standing. And Article III standing, as a fundamental constitutional requisite of federal judicial power, presents a threshold question in every federal case.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 federal rule cannot alter a constitutional requirement, and therefore with respect to each asserted claim, a plaintiff must always have suffered a distinct and palpable injury to herself.</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Utah has passed an Illinois Brick repealer, and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therefore does grant indirect purchasers the right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but only if they are citizens or residents of Utah. </w:t>
      </w:r>
      <w:hyperlink r:id="rId39" w:history="1">
        <w:r>
          <w:rPr>
            <w:rFonts w:ascii="arial" w:eastAsia="arial" w:hAnsi="arial" w:cs="arial"/>
            <w:b w:val="0"/>
            <w:i/>
            <w:strike w:val="0"/>
            <w:noProof w:val="0"/>
            <w:color w:val="0077CC"/>
            <w:position w:val="0"/>
            <w:sz w:val="20"/>
            <w:u w:val="single"/>
            <w:vertAlign w:val="baseline"/>
          </w:rPr>
          <w:t>Utah Code Ann. § 76-10-3109</w:t>
        </w:r>
      </w:hyperlink>
      <w:r>
        <w:rPr>
          <w:rFonts w:ascii="arial" w:eastAsia="arial" w:hAnsi="arial" w:cs="arial"/>
          <w:b w:val="0"/>
          <w:i w:val="0"/>
          <w:strike w:val="0"/>
          <w:noProof w:val="0"/>
          <w:color w:val="000000"/>
          <w:position w:val="0"/>
          <w:sz w:val="20"/>
          <w:u w:val="none"/>
          <w:vertAlign w:val="baseline"/>
        </w:rPr>
        <w: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Puerto Rico has not passed an Illinois Brick repealer, and its territorial courts have apparently not directly addressed the issue, but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generally construed as essentially embodying the jurisprudence relevant to the parallel federal law. In the absence of a clear decision—by either the legislature or by the jurisdiction's own courts—to allow indirect-purchaser recovery,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a state (or territory) are interpreted as presumptively consistent with federal law. Therefore, Puerto Rico follows the rule of Illinois Brick.</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Prospective Operation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Rhode Island was an Illinois Brick state until its legislature enacted a repealer on July 15, 2013. </w:t>
      </w:r>
      <w:hyperlink r:id="rId42" w:history="1">
        <w:r>
          <w:rPr>
            <w:rFonts w:ascii="arial" w:eastAsia="arial" w:hAnsi="arial" w:cs="arial"/>
            <w:b w:val="0"/>
            <w:i/>
            <w:strike w:val="0"/>
            <w:noProof w:val="0"/>
            <w:color w:val="0077CC"/>
            <w:position w:val="0"/>
            <w:sz w:val="20"/>
            <w:u w:val="single"/>
            <w:vertAlign w:val="baseline"/>
          </w:rPr>
          <w:t>R.I. Gen. Laws § 6-36-7(d)</w:t>
        </w:r>
      </w:hyperlink>
      <w:r>
        <w:rPr>
          <w:rFonts w:ascii="arial" w:eastAsia="arial" w:hAnsi="arial" w:cs="arial"/>
          <w:b w:val="0"/>
          <w:i w:val="0"/>
          <w:strike w:val="0"/>
          <w:noProof w:val="0"/>
          <w:color w:val="000000"/>
          <w:position w:val="0"/>
          <w:sz w:val="20"/>
          <w:u w:val="none"/>
          <w:vertAlign w:val="baseline"/>
        </w:rPr>
        <w:t>. In Rhode Island as elsewhere, statutes and their amendments are presumed to apply prospectively. Indeed, it is very widely recognized as an almost universal rule that statutes are addressed to the future, not to the past. In the absence of evidence of the Rhode Island legislature's intent to the contrary, it is fair to conclude that the law applies only prospectively.</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has an unfair or deceptive acts or practices prong, and an unfair methods of competition prong. </w:t>
      </w:r>
      <w:hyperlink r:id="rId44"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Claims under the unfair or deceptive acts or practices prong can only be brought by consumers, the attorney general or the director of the office of consumer protection, </w:t>
      </w:r>
      <w:hyperlink r:id="rId44" w:history="1">
        <w:r>
          <w:rPr>
            <w:rFonts w:ascii="arial" w:eastAsia="arial" w:hAnsi="arial" w:cs="arial"/>
            <w:b w:val="0"/>
            <w:i/>
            <w:strike w:val="0"/>
            <w:noProof w:val="0"/>
            <w:color w:val="0077CC"/>
            <w:position w:val="0"/>
            <w:sz w:val="20"/>
            <w:u w:val="single"/>
            <w:vertAlign w:val="baseline"/>
          </w:rPr>
          <w:t>Haw. Rev. Stat. § 480-2(d)</w:t>
        </w:r>
      </w:hyperlink>
      <w:r>
        <w:rPr>
          <w:rFonts w:ascii="arial" w:eastAsia="arial" w:hAnsi="arial" w:cs="arial"/>
          <w:b w:val="0"/>
          <w:i w:val="0"/>
          <w:strike w:val="0"/>
          <w:noProof w:val="0"/>
          <w:color w:val="000000"/>
          <w:position w:val="0"/>
          <w:sz w:val="20"/>
          <w:u w:val="none"/>
          <w:vertAlign w:val="baseline"/>
        </w:rPr>
        <w:t xml:space="preserve">. Claims under the "unfair methods of competition" prong are not limited in that way, but class actions brought under that prong require pre-suit notice to the state attorney general, who has a right of first refusal to bring claims. </w:t>
      </w:r>
      <w:hyperlink r:id="rId45" w:history="1">
        <w:r>
          <w:rPr>
            <w:rFonts w:ascii="arial" w:eastAsia="arial" w:hAnsi="arial" w:cs="arial"/>
            <w:b w:val="0"/>
            <w:i/>
            <w:strike w:val="0"/>
            <w:noProof w:val="0"/>
            <w:color w:val="0077CC"/>
            <w:position w:val="0"/>
            <w:sz w:val="20"/>
            <w:u w:val="single"/>
            <w:vertAlign w:val="baseline"/>
          </w:rPr>
          <w:t>Haw. Rev. Stat. § 480-13.3</w:t>
        </w:r>
      </w:hyperlink>
      <w:r>
        <w:rPr>
          <w:rFonts w:ascii="arial" w:eastAsia="arial" w:hAnsi="arial" w:cs="arial"/>
          <w:b w:val="0"/>
          <w:i w:val="0"/>
          <w:strike w:val="0"/>
          <w:noProof w:val="0"/>
          <w:color w:val="000000"/>
          <w:position w:val="0"/>
          <w:sz w:val="20"/>
          <w:u w:val="none"/>
          <w:vertAlign w:val="baseline"/>
        </w:rPr>
        <w: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From the language of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itself, it does not appear, for instance, to create a substantive right to recovery that only "vests" after some action or inaction of the state attorney general. Rather, it creates a right to "bring an action based on unfair methods of competition" in </w:t>
      </w:r>
      <w:hyperlink r:id="rId44"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without any reference to notice, and delineates procedural prerequisites for class actions under the chapter in </w:t>
      </w:r>
      <w:hyperlink r:id="rId45" w:history="1">
        <w:r>
          <w:rPr>
            <w:rFonts w:ascii="arial" w:eastAsia="arial" w:hAnsi="arial" w:cs="arial"/>
            <w:b w:val="0"/>
            <w:i/>
            <w:strike w:val="0"/>
            <w:noProof w:val="0"/>
            <w:color w:val="0077CC"/>
            <w:position w:val="0"/>
            <w:sz w:val="20"/>
            <w:u w:val="single"/>
            <w:vertAlign w:val="baseline"/>
          </w:rPr>
          <w:t>Haw. Rev. Stat. § 480-13.3</w:t>
        </w:r>
      </w:hyperlink>
      <w:r>
        <w:rPr>
          <w:rFonts w:ascii="arial" w:eastAsia="arial" w:hAnsi="arial" w:cs="arial"/>
          <w:b w:val="0"/>
          <w:i w:val="0"/>
          <w:strike w:val="0"/>
          <w:noProof w:val="0"/>
          <w:color w:val="000000"/>
          <w:position w:val="0"/>
          <w:sz w:val="20"/>
          <w:u w:val="none"/>
          <w:vertAlign w:val="baseline"/>
        </w:rPr>
        <w:t xml:space="preserve">. It cannot be concluded that the </w:t>
      </w:r>
      <w:hyperlink r:id="rId45" w:history="1">
        <w:r>
          <w:rPr>
            <w:rFonts w:ascii="arial" w:eastAsia="arial" w:hAnsi="arial" w:cs="arial"/>
            <w:b w:val="0"/>
            <w:i/>
            <w:strike w:val="0"/>
            <w:noProof w:val="0"/>
            <w:color w:val="0077CC"/>
            <w:position w:val="0"/>
            <w:sz w:val="20"/>
            <w:u w:val="single"/>
            <w:vertAlign w:val="baseline"/>
          </w:rPr>
          <w:t>Haw. Rev. Stat. § 480-13.3</w:t>
        </w:r>
      </w:hyperlink>
      <w:r>
        <w:rPr>
          <w:rFonts w:ascii="arial" w:eastAsia="arial" w:hAnsi="arial" w:cs="arial"/>
          <w:b w:val="0"/>
          <w:i w:val="0"/>
          <w:strike w:val="0"/>
          <w:noProof w:val="0"/>
          <w:color w:val="000000"/>
          <w:position w:val="0"/>
          <w:sz w:val="20"/>
          <w:u w:val="none"/>
          <w:vertAlign w:val="baseline"/>
        </w:rPr>
        <w:t xml:space="preserve"> procedural prerequisites are sufficiently a "part of a State's framework of substantive rights or remedies" to be controlling in federal court.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A pleading that offers labels and conclusions or formulaic recitation of the elements of a cause of action will not do. The bald assertion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violates dozens of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implication that there are no consequential differences between those laws, is not entitled to deference, because the tenet that a court must accept as true all of the allegations contained in a complaint is inapplicable to legal conclusions.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Substantial Contacts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The authority of a court to subject a particular defendant to personal jurisdiction has been analyzed as a constitutional question for well over a century. The statutory authority for jurisdiction, though a necessary condition of it, is not a sufficient one. A court may assert general jurisdiction over foreign (sister-state or foreign-country) corporations to hear any and all claims against them when their affiliations with the State are so continuous and systematic as to render them essentially at home in the forum State. Being "essentially at home" in a place is a very high bar, almost never found for corporations where they are neither incorporated nor headquartered. Even a company's engagement in a substantial, continuous, and systematic course of business is alone insufficient to render it at home in a forum.</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Specific jurisdiction depends on an affiliation between the forum and the underlying controversy. Importantly, in contrast to general, all-purpose jurisdiction, specific jurisdiction is confined to adjudication of issues deriving from, or connected with, the very controversy that establishes jurisdiction. Pleading specific jurisdiction does not present nearly so high a bar as pleading general jurisdiction, but unlike general jurisdiction, it depends on case-specific contacts. Even frequent, substantial contacts cannot confer jurisdiction in this case unless the contacts were made in connection with the specific controversy being litigated.</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Aggrenox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Brian P. Daniels, Brenner, Saltzman &amp; Wallman LLP, New Haven, CT; David R. Schaefer, Brenner, Saltzman &amp; Wallman, New Haven,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Buildings Trade Welfare Plan, on behalf of itself and all others similarly situated, Plaintiff: Mathew P. Jasinski, LEAD ATTORNEY, William H. Narwold, Motley Rice LLC, Hartford, CT; Michael M. Buchman, LEAD ATTORNEY, Motley Rice LLC-NY,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on behalf of itself and all others similarly situated, Plaintiff: Derek Y. Brandt, Sarah S. Burns, LEAD ATTORNEYS, PRO HAC VICE, Simmons Browder Gianaris Angelides &amp; Barnerd LLC, Alton, IL; Mathew P. Jasinski, LEAD ATTORNEY, William H. Narwold, Motley Rice LLC, Hartford, CT; Mitchell M. Breit, LEAD ATTORNEY, PRO HAC VICE, Simmons Hanly Conroy, LLP, New York, NY; Lori Ann Fanning, Marvin A.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Miami-Luken, Inc., Plaintiff: David C. Raphael , Jr., Erin R. Leger, LEAD ATTORNEY, Smith Segura &amp; Raphael, LLP, Alexandria, LA; Ephraim R. Gerstein, LEAD ATTORNEY, Bruce E Gerstein, Jonathan Michael Gerstein, Joseph Opper, Garwin Gerstein &amp; Fisher, LLP, New York, NY;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Keith J. Verrier, LEAD ATTORNEY, Levin, Fishbein, Sedran &amp; Berman, Philadelphia, PA; Gerald C. Pia, Jr., LEAD ATTORNEY, Roche Pia LLC, Shelton,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on its own behalf and on behalf of all others similarly situated, Plaintiff: Christina H.C. Sharp, Daniel C. Girard, Scott M. Grzenczyk, LEAD ATTORNEY, Girard Gibbs, LLP, San Francisco, CA; Natalie Finkelman Bennett, LEAD ATTORNEY, PRO HAC VICE, Shepherd, Finkelman, Miller &amp; Shah, LLP - PA,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on Behalf of Itself and All Others Similarly Situated, Plaintiff: Lee Albert, LEAD ATTORNEY, PRO HAC VICE, Glancy Binkow &amp; Goldberg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its own behalf and on behalf of all others similarly situated, Plaintiff: Natalie Finkelman Bennett, LEAD ATTORNEY, PRO HAC VICE, Shepherd, Finkelman, Miller &amp; Shah, LLP - PA, Media, PA; Karen Leser Grenon, Sheperd Finkelman Miller &amp; Shah, LLP-CT,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Andrew Coyne Curley, David F. Sorensen, Nicholas Urban, LEAD ATTORNEY, Berger &amp; Montague, P.C., Philadelphia, PA; Archana Tamoshunas, LEAD ATTORNEY, Taus Cebulash &amp; Landau LLP, New York, NY; Joseph T. Lukens, Peter R. Kohn, LEAD ATTORNEY, Faruqi &amp; Faruqi - PA, Jenkintown, PA; Gerald C. Pia , Jr., LEAD ATTORNEY, Roche Pia LLC, Shelton, CT; Joseph Opper, Garwin Gerstein &amp; Fisher, LLP, New York, NY; Sarah A. Westby, Faruqi &amp; Faruqi, LLP-NY,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Miami Lodge 20, Insurance Trust Fund, on its own behalf and on behalf of all others similarly situated, Plaintiff: Jayne A. Goldstein, LEAD ATTORNEY, PRO HAC VICE, Pomeranz LLP - FL, Weston, FL; Adam Giffords Kurtz,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on behalf of itself and all others similarly situated, Plaintiff: Jacob Alexander Goldberg, Michael Coren, Stewart Lee Cohen, LEAD ATTORNEY, Cohen Placitella &amp; Roth,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IAFF Local 22 Health &amp; Welfare Fund, on behalf of itself and all others similarly situated, International Union of Painters and Allied Trades, District Council 21 Health and Welfare Fund, on behalf of itself and all others similarly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situated, Plaintiffs: David R. Woodward, Renae D. Steiner, LEAD ATTORNEY, PRO HAC VICE, Heins Mills &amp; Olson, PLC-MN,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and North Dakota Bricklayers and Allied Craftworkers Health Fund, on behalf of itself and all others similarly situated, Plaintiff: Anne T Regan, LEAD ATTORNEY, PRO HAC VICE, Zimmerman Reed, PLLP, Minneapolis, MN; David R. Woodward, Renae D. Steiner, LEAD ATTORNEY, PRO HAC VICE, Heins Mills &amp; Olson, PLC-MN,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AGC-International Union of Operating Engineers Local 701 Health &amp; Welfare Trust Fund, Plaintiff: David R. Woodward, Renae D. Steiner, LEAD ATTORNEY, PRO HAC VICE, Heins Mills &amp; Olson, PLC-MN, Minneapolis, MN; Vincent J. Esades, LEAD ATTORNEY, Heins Mills &amp; Olson, PLC-MN, Minneapolis, MN; Keith S. Dubanevich, Stoll Stoll Berne Lokting &amp; Shlachter,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on behalf of itself and all others similarly situated, Plaintiff: Garrett D Blanchfield, Jr, Roberta A. Yard, LEAD ATTORNEY, Reinhardt Wendorf &amp; Blanchfield,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School Cafeteria Employees Local 634 Health and Welfare Fund, on behalf of itself and all others similarly situated, Plaintiff: David R. Woodward,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Renae D. Steiner, LEAD ATTORNEY, PRO HAC VICE, Heins Mills &amp; Olson, PLC-MN, Minneapolis, MN; Krishna B. Narine, LEAD ATTORNEY, Meredith &amp;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Newspaper And Magazine Employees Health And Welfare Fund, on behalf of itself and all others similarly situated, Plaintiff: Noah Axler, LEAD ATTORNEY, PRO HAC VICE, Donovan Searles,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District Council 47 Health &amp; Welfare Fund, on behalf of itself and all others similarly situated, Plaintiff: LEAD ATTORNEY,Stephen E. Connolly, LEAD ATTORNEY, Connolly Wells &amp; Gray, LLP,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Individually and on Behalf of All Others Similarly Situated, Plaintiff: Brian O. O'Mara, LEAD ATTORNEY, PRO HAC VICE, Robbins Geller Rudman &amp; Dowd LLP-SD,CA, San Diego, CA; Marc S. Henzel, LEAD ATTORNEY, Law Offices of Marc S. Henzel, Merion Station,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Philadelphia, PA; John A. Macoretta, William G. Caldes, LEAD ATTORNEY, Spector, Roseman &amp;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Adam Steinfeld, Bradley J. Demuth, Linda P. Nussbaum, Peter Anthony Barile, III, LEAD ATTORNEY, PRO HAC VICE, Grant &amp; Eisenhofer, P.A.-NY, New York, NY; Brent W. Landau, LEAD ATTORNEY, PRO HAC VICE, Hausfeld LLP - PA, Philadelphia, PA; David R. Schaefer, Brenner, Saltzman &amp; Wallman LLP, New Haven, CT; Gerald C. Pia , Jr., LEAD ATTORNEY, Roche Pia LLC, Shelton, CT; Joseph Opper,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Inc, on behalf of itself and on behalf of all others similarly situated, Plaintiff: Barbara J. Hart, Noelle-Kristen F. Ruggiero, LEAD ATTORNEY, PRO HAC VICE, Lowey Dannenberg Cohen &amp; Hart, P.C.-NY, White Plains, NY; Peter D St. Phillip , Jr, LEAD ATTORNEY, Richard W. Cohen, Uriel Rabinovitz, Lowey Dannenberg Cohen &amp; Hart, P.C.-NY, White Plains, NY; Gerald Lawrence, Lowey Dannenberg Cohen &amp; Hart, P.C.-PA, West Conshohocken,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J. Douglas Richards, Cohen Milstein Sellers &amp; Toll-NY, New York, NY; Sharon K. Robertson, Cohen Milstein Sellers &amp; Toll PLLC-NY,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Sales Company, LLC, on behalf of itself and all others similarly situated, Plaintiff: Brian C. Roche, Gerald C. Pia , Jr., LEAD ATTORNEY, Roche Pia LLC, Shelton, CT; David S Nalven, Thomas M. Sobol Hagens Berman Sobel Shapiro, LLP, Cambridge, MA; Joseph Opper,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Heidi M. Drewes-Silton, Karen Hanson Riebel, Lockridge Grindall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J. Belfi, LEAD ATTORNEY, Labaton Sucharow LLP-NY, New York, NY; Gregory Asciolla, Jay L. Himes, Matthew J. Perez, LEAD ATTORNEY, PRO HAC VICE, Labaton Sucharow LLP-NY, New York, NY; Mathew P. Jasinski, LEAD ATTORNEY, William H. Narwold, Motley Rice LLC, Hartford, CT.Pipefitters Union Local NO 537 Health &amp; Welfare Fund, on Behalf of Itself and All Others Similarly Situated, Plaintiff: Eric J. Belfi, LEAD ATTORNEY, Labaton Sucharow LLP-NY, New York, NY; Gregory Asciolla, Jay L. Himes, Matthew J. Perez, LEAD ATTORNEY, PRO HAC VICE, Labaton Sucharow LLP-NY, New York, NY; Mathew P. Jasinski, LEAD ATTORNEY, William H. Narwold, Motley Rice LLC,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a Delaware corporation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Now known as Barr Pharmaceuticals, LLC, Duramed Pharmaceuticals Inc, a Delaware corporation Now known as Teva Women's Health, Inc., Teva Pharmaceuticals USA, Inc., a Delaware corporation, Duramed Pharmaceuticals Sales Corp., a Delaware corporation, Defendants: Brigid M. Carpenter, LEAD ATTORNEY, Baker, Donelson, Berman, Caldwell &amp; Berkowitz, P.C.- Nash, Nashville, TN; Robert D. Carroll, Sarah K. Frederick, LEAD ATTORNEY, PRO HAC VICE, Goodwin Procter, LLP - MA, Boston, MA; Assaf Ze'ev Ben-Atar, Pullman &amp; Comley - Bpt, Bridgeport, CT; Christopher T Holding, Goodwin Procter, LLP - MA, Boston, MA; James T. Shearin, Pullman &amp; Comley, Bridgeport,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an Israeli corporation, Defendant: Robert D. Carroll, LEAD ATTORNEY, PRO HAC VICE, Goodwin Procter, LLP - MA, Boston, MA; Christopher T Holding, Goodwin Procter, LLP - MA,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International GmbH, a German limited liability company, Defendant: Alison Hanstead, Jack E. Pace, III, Robert A. Milne, White &amp; Case - NY - Ave Americas, New York, NY; J. Mark Gidley, Matthew S. Leddicotte, Peter J. Carney, White &amp; Case - 13th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Pharmaceuticals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Inc, a Delaware corporation, Defendant: Alison Hanstead, Jack E. Pace, III, Robert A. Milne, White &amp; Case - NY - Ave Americas, New York, NY; J. Mark Gidley, Matthew S. Leddicotte, Peter J. Carney, White &amp; Case - 13th DC, Washington, DC; John E. Iole, LEAD ATTORNEY, Jones Day, Pittsburgh, PA; Kelly G. Laudon, Mark A. Jacobson, LEAD ATTORNEY, Lindquist &amp; Vennum LLP, Minneapolis, MN; Robert Dale Grimes, LEAD ATTORNEY, Bass, Berry &amp; Sims (Nashville), Nashville, TN; David Kessler, Norton Rose Fulbright, New York, NY; Richard P. Colbert, Day Pitney LLP-Stmfd,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 Inc, a Delaware corporation, Defendants: Brigid M. Carpenter, LEAD ATTORNEY, Baker, Donelson, Berman, Caldwell &amp; Berkowitz, P.C.- Nash, Nashville, TN; Robert D. Carroll, Sarah K. Frederick, LEAD ATTORNEY, PRO HAC VICE, Goodwin Procter, LLP - MA, Boston, MA; Assaf Ze'ev Ben-Atar, Pullman &amp; Comley - Bpt, Bridgeport, CT; Christopher T Holding, Goodwin Procter, LLP - MA, Boston, MA; James T. Shearin, Pullman &amp; Comley, Bridgeport,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Pharma GMBH &amp; Co. KG, a German limited partnership, Defendant: Alison Hanstead, Jack E. Pace, III, Robert A. Milne, White &amp; Case - NY - Ave Americas, New York,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NY; J. Mark Gidley, Matthew S. Leddicotte, Peter J. Carney, White &amp; Case - 13th DC, Washington, DC.</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Stefan R. Underhill, United States District Judge.</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Stefan R. Underhill</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OF DECISION AND ORDER</w:t>
      </w:r>
    </w:p>
    <w:p>
      <w:pPr>
        <w:keepNext w:val="0"/>
        <w:widowControl w:val="0"/>
        <w:spacing w:before="200" w:after="0" w:line="260" w:lineRule="atLeast"/>
        <w:ind w:left="0" w:right="0" w:firstLine="0"/>
        <w:jc w:val="both"/>
      </w:pPr>
      <w:bookmarkStart w:id="63" w:name="Bookmark_para_1"/>
      <w:bookmarkEnd w:id="63"/>
      <w:r>
        <w:rPr>
          <w:rFonts w:ascii="arial" w:eastAsia="arial" w:hAnsi="arial" w:cs="arial"/>
          <w:b w:val="0"/>
          <w:i w:val="0"/>
          <w:strike w:val="0"/>
          <w:noProof w:val="0"/>
          <w:color w:val="000000"/>
          <w:position w:val="0"/>
          <w:sz w:val="20"/>
          <w:u w:val="none"/>
          <w:vertAlign w:val="baseline"/>
        </w:rPr>
        <w:t xml:space="preserve">This case aggregates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brought by numerous plaintiffs in various districts against several interrelated pharmaceutical companies, all transferred to this Court by the Judicial Panel on Multidistrict Litigation. Under a Practice and Procedure Order (doc. # 37), the actions are consolidated into two groups: all direct-purchaser actions, and all indirect-purchaser actions (the indirect purchasers also style themselves "end payors"). Two consolidated, putative class-action complaints have accordingly been filed. One of the indirect purchasers (or end payors), Humana, Inc. ("Humana"), which alleges that it has the greatest economic interest of any such plaintiff (and that it alone has standing in every state), is pursuing its claims individually. There are thus three current complaints: (1) the direct-purchaser plaintiffs' putative class complaint (doc. # 109); (2) the indirect-purchaser plaintiffs' (or end-payor plaintiffs') putative class complaint (doc. # 120);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(3) the Humana complaint (doc. # 93).</w:t>
      </w:r>
    </w:p>
    <w:p>
      <w:pPr>
        <w:keepNext w:val="0"/>
        <w:widowControl w:val="0"/>
        <w:spacing w:before="200" w:after="0" w:line="260" w:lineRule="atLeast"/>
        <w:ind w:left="0" w:right="0" w:firstLine="0"/>
        <w:jc w:val="both"/>
      </w:pPr>
      <w:bookmarkStart w:id="64" w:name="Bookmark_para_2"/>
      <w:bookmarkEnd w:id="64"/>
      <w:r>
        <w:rPr>
          <w:rFonts w:ascii="arial" w:eastAsia="arial" w:hAnsi="arial" w:cs="arial"/>
          <w:b w:val="0"/>
          <w:i w:val="0"/>
          <w:strike w:val="0"/>
          <w:noProof w:val="0"/>
          <w:color w:val="000000"/>
          <w:position w:val="0"/>
          <w:sz w:val="20"/>
          <w:u w:val="none"/>
          <w:vertAlign w:val="baseline"/>
        </w:rPr>
        <w:t xml:space="preserve">The defendants are also divisible into several groups: (1) Boehringer Ingelheim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Pharma GmbH &amp; Co. KG and Boehringer Ingelheim International GmbH, which are organized under German law, and Boehringer Ingelheim Pharmaceuticals, Inc., which is a Delaware corporation (collectively "Boehringer"); (2) Teva Pharmaceutical Industries, Ltd. ("Teva Israel"), which is organized under Israeli law, and Teva Pharmaceuticals USA, Inc. ("Teva USA"), which is a Delaware corporation; (3) Barr Pharmaceuticals, Inc. and Barr Laboratories, Inc., which are both Delaware corporations (collectively "Barr"); and (4) Duramed Pharmaceuticals Inc. and Duramed Pharmaceuticals Sales Corp., which are both Delaware corporations (collectively "Duramed"). In 2008, Teva USA acquired Barr Pharmaceuticals. Duramed was, in turn, a subsidiary of Barr, and thus also became a subsidiary of Teva USA. Teva USA is a subsidiary of Teva Israel, making all non-Boehringer defendants at least indirect subsidiaries of Teva Israel.</w:t>
      </w:r>
    </w:p>
    <w:p>
      <w:pPr>
        <w:keepNext w:val="0"/>
        <w:widowControl w:val="0"/>
        <w:spacing w:before="240" w:after="0" w:line="260" w:lineRule="atLeast"/>
        <w:ind w:left="0" w:right="0" w:firstLine="0"/>
        <w:jc w:val="both"/>
      </w:pPr>
      <w:bookmarkStart w:id="65" w:name="Bookmark_para_3"/>
      <w:bookmarkEnd w:id="65"/>
      <w:r>
        <w:rPr>
          <w:rFonts w:ascii="arial" w:eastAsia="arial" w:hAnsi="arial" w:cs="arial"/>
          <w:b w:val="0"/>
          <w:i w:val="0"/>
          <w:strike w:val="0"/>
          <w:noProof w:val="0"/>
          <w:color w:val="000000"/>
          <w:position w:val="0"/>
          <w:sz w:val="20"/>
          <w:u w:val="none"/>
          <w:vertAlign w:val="baseline"/>
        </w:rPr>
        <w:t>There are four pending motions to dismiss, three of them filed collectively by all defendants except Teva Israel, and one filed by Teva Israel alone. Those motions are: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 Teva Israel's motion to dismiss all complaints against it under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150); (2) the defendants' motion to dismiss the direct-purchaser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149; sealed mem., doc.168); (3) the defendants' motion to dismiss the indirect-purchaser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151); and (4) the defendants' motion to dismiss the Humana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Standards of Review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Rule 12(b)(2)</w:t>
      </w:r>
    </w:p>
    <w:p>
      <w:pPr>
        <w:keepNext w:val="0"/>
        <w:widowControl w:val="0"/>
        <w:spacing w:before="240" w:after="0" w:line="260" w:lineRule="atLeast"/>
        <w:ind w:left="0" w:right="0" w:firstLine="0"/>
        <w:jc w:val="both"/>
      </w:pPr>
      <w:bookmarkStart w:id="66" w:name="Bookmark_para_4"/>
      <w:bookmarkEnd w:id="66"/>
      <w:bookmarkStart w:id="67" w:name="Bookmark_LNHNREFclscc1"/>
      <w:bookmarkEnd w:id="67"/>
      <w:hyperlink r:id="rId5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68" w:name="Bookmark_I5FNG9HC2SF88W0020000400"/>
      <w:bookmarkEnd w:id="68"/>
      <w:r>
        <w:rPr>
          <w:rFonts w:ascii="arial" w:eastAsia="arial" w:hAnsi="arial" w:cs="arial"/>
          <w:b w:val="0"/>
          <w:i w:val="0"/>
          <w:strike w:val="0"/>
          <w:noProof w:val="0"/>
          <w:color w:val="000000"/>
          <w:position w:val="0"/>
          <w:sz w:val="20"/>
          <w:u w:val="none"/>
          <w:vertAlign w:val="baseline"/>
        </w:rPr>
        <w:t xml:space="preserve">A plaintiff bears the burden of showing that the court has personal jurisdiction over each defendant. </w:t>
      </w:r>
      <w:bookmarkStart w:id="69" w:name="Bookmark_I4969FY9P38000HF4VM0002W"/>
      <w:bookmarkEnd w:id="69"/>
      <w:bookmarkStart w:id="70" w:name="Bookmark_I5FNG9HC2SF88W0040000400"/>
      <w:bookmarkEnd w:id="70"/>
      <w:bookmarkStart w:id="71" w:name="Bookmark_I5FNG9HC2SF88W0010000400"/>
      <w:bookmarkEnd w:id="71"/>
      <w:hyperlink r:id="rId52" w:history="1">
        <w:r>
          <w:rPr>
            <w:rFonts w:ascii="arial" w:eastAsia="arial" w:hAnsi="arial" w:cs="arial"/>
            <w:b w:val="0"/>
            <w:i/>
            <w:strike w:val="0"/>
            <w:noProof w:val="0"/>
            <w:color w:val="0077CC"/>
            <w:position w:val="0"/>
            <w:sz w:val="20"/>
            <w:u w:val="single"/>
            <w:vertAlign w:val="baseline"/>
          </w:rPr>
          <w:t>Metro. Life Ins. Co. v. Robertson-Ceco Corp</w:t>
        </w:r>
      </w:hyperlink>
      <w:hyperlink r:id="rId52" w:history="1">
        <w:r>
          <w:rPr>
            <w:rFonts w:ascii="arial" w:eastAsia="arial" w:hAnsi="arial" w:cs="arial"/>
            <w:b w:val="0"/>
            <w:i/>
            <w:strike w:val="0"/>
            <w:noProof w:val="0"/>
            <w:color w:val="0077CC"/>
            <w:position w:val="0"/>
            <w:sz w:val="20"/>
            <w:u w:val="single"/>
            <w:vertAlign w:val="baseline"/>
          </w:rPr>
          <w:t>., 84 F.3d 560, 566 (2d Cir. 1996)</w:t>
        </w:r>
      </w:hyperlink>
      <w:r>
        <w:rPr>
          <w:rFonts w:ascii="arial" w:eastAsia="arial" w:hAnsi="arial" w:cs="arial"/>
          <w:b w:val="0"/>
          <w:i w:val="0"/>
          <w:strike w:val="0"/>
          <w:noProof w:val="0"/>
          <w:color w:val="000000"/>
          <w:position w:val="0"/>
          <w:sz w:val="20"/>
          <w:u w:val="none"/>
          <w:vertAlign w:val="baseline"/>
        </w:rPr>
        <w:t xml:space="preserve">. Where, as here, there has been no discovery on jurisdictional issues and the court is relying solely on the parties' pleadings and affidavits, the plaintiff need only make a prima facie showing that the court possesses personal jurisdiction over the defendant. </w:t>
      </w:r>
      <w:bookmarkStart w:id="72" w:name="Bookmark_I5FNG9HC2SF88W0040000400_2"/>
      <w:bookmarkEnd w:id="72"/>
      <w:bookmarkStart w:id="73" w:name="Bookmark_I5FNG9HC2SF88W0030000400"/>
      <w:bookmarkEnd w:id="73"/>
      <w:hyperlink r:id="rId53"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53" w:history="1">
        <w:r>
          <w:rPr>
            <w:rFonts w:ascii="arial" w:eastAsia="arial" w:hAnsi="arial" w:cs="arial"/>
            <w:b w:val="0"/>
            <w:i/>
            <w:strike w:val="0"/>
            <w:noProof w:val="0"/>
            <w:color w:val="0077CC"/>
            <w:position w:val="0"/>
            <w:sz w:val="20"/>
            <w:u w:val="single"/>
            <w:vertAlign w:val="baseline"/>
          </w:rPr>
          <w:t>, 171 F.3d 779, 784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Rule 12(b)(6)</w:t>
      </w:r>
    </w:p>
    <w:p>
      <w:pPr>
        <w:keepNext w:val="0"/>
        <w:widowControl w:val="0"/>
        <w:spacing w:before="240" w:after="0" w:line="260" w:lineRule="atLeast"/>
        <w:ind w:left="0" w:right="0" w:firstLine="0"/>
        <w:jc w:val="both"/>
      </w:pPr>
      <w:bookmarkStart w:id="74" w:name="Bookmark_para_5"/>
      <w:bookmarkEnd w:id="74"/>
      <w:bookmarkStart w:id="75" w:name="Bookmark_LNHNREFclscc2"/>
      <w:bookmarkEnd w:id="75"/>
      <w:hyperlink r:id="rId5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76" w:name="Bookmark_I5FNG9HD28T4K90010000400"/>
      <w:bookmarkEnd w:id="76"/>
      <w:r>
        <w:rPr>
          <w:rFonts w:ascii="arial" w:eastAsia="arial" w:hAnsi="arial" w:cs="arial"/>
          <w:b w:val="0"/>
          <w:i w:val="0"/>
          <w:strike w:val="0"/>
          <w:noProof w:val="0"/>
          <w:color w:val="000000"/>
          <w:position w:val="0"/>
          <w:sz w:val="20"/>
          <w:u w:val="none"/>
          <w:vertAlign w:val="baseline"/>
        </w:rPr>
        <w:t xml:space="preserve">A motion to dismiss for failure to state a claim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designed "merely to assess the legal feasibility of a complaint, not to assay the weight of evidence which might be offered in support thereof." </w:t>
      </w:r>
      <w:bookmarkStart w:id="77" w:name="Bookmark_I5FNG9HC2SF88W0050000400"/>
      <w:bookmarkEnd w:id="77"/>
      <w:hyperlink r:id="rId55" w:history="1">
        <w:r>
          <w:rPr>
            <w:rFonts w:ascii="arial" w:eastAsia="arial" w:hAnsi="arial" w:cs="arial"/>
            <w:b w:val="0"/>
            <w:i/>
            <w:strike w:val="0"/>
            <w:noProof w:val="0"/>
            <w:color w:val="0077CC"/>
            <w:position w:val="0"/>
            <w:sz w:val="20"/>
            <w:u w:val="single"/>
            <w:vertAlign w:val="baseline"/>
          </w:rPr>
          <w:t>Ryder Energy Distribution Corp. v. Merrill Lynch Commodities, Inc</w:t>
        </w:r>
      </w:hyperlink>
      <w:hyperlink r:id="rId55" w:history="1">
        <w:r>
          <w:rPr>
            <w:rFonts w:ascii="arial" w:eastAsia="arial" w:hAnsi="arial" w:cs="arial"/>
            <w:b w:val="0"/>
            <w:i/>
            <w:strike w:val="0"/>
            <w:noProof w:val="0"/>
            <w:color w:val="0077CC"/>
            <w:position w:val="0"/>
            <w:sz w:val="20"/>
            <w:u w:val="single"/>
            <w:vertAlign w:val="baseline"/>
          </w:rPr>
          <w:t>., 748 F.2d 774, 779 (2d Cir. 1984)</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FNG9HD28T4K90020000400"/>
      <w:bookmarkEnd w:id="78"/>
      <w:hyperlink r:id="rId56" w:history="1">
        <w:r>
          <w:rPr>
            <w:rFonts w:ascii="arial" w:eastAsia="arial" w:hAnsi="arial" w:cs="arial"/>
            <w:b w:val="0"/>
            <w:i/>
            <w:strike w:val="0"/>
            <w:noProof w:val="0"/>
            <w:color w:val="0077CC"/>
            <w:position w:val="0"/>
            <w:sz w:val="20"/>
            <w:u w:val="single"/>
            <w:vertAlign w:val="baseline"/>
          </w:rPr>
          <w:t>Geisler v. Petrocelli</w:t>
        </w:r>
      </w:hyperlink>
      <w:hyperlink r:id="rId56" w:history="1">
        <w:r>
          <w:rPr>
            <w:rFonts w:ascii="arial" w:eastAsia="arial" w:hAnsi="arial" w:cs="arial"/>
            <w:b w:val="0"/>
            <w:i/>
            <w:strike w:val="0"/>
            <w:noProof w:val="0"/>
            <w:color w:val="0077CC"/>
            <w:position w:val="0"/>
            <w:sz w:val="20"/>
            <w:u w:val="single"/>
            <w:vertAlign w:val="baseline"/>
          </w:rPr>
          <w:t>, 616 F.2d 636, 639 (2d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6"/>
      <w:bookmarkEnd w:id="79"/>
      <w:bookmarkStart w:id="80" w:name="Bookmark_I5FNG9HD28T4K90050000400"/>
      <w:bookmarkEnd w:id="80"/>
      <w:r>
        <w:rPr>
          <w:rFonts w:ascii="arial" w:eastAsia="arial" w:hAnsi="arial" w:cs="arial"/>
          <w:b w:val="0"/>
          <w:i w:val="0"/>
          <w:strike w:val="0"/>
          <w:noProof w:val="0"/>
          <w:color w:val="000000"/>
          <w:position w:val="0"/>
          <w:sz w:val="20"/>
          <w:u w:val="none"/>
          <w:vertAlign w:val="baseline"/>
        </w:rPr>
        <w:t xml:space="preserve">When deciding a motion to dismiss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accept the material facts alleged in the complaint as true, draw all reasonable inferences in favor of the plaintiffs, and decide whether it is plausible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plaintiffs have a valid claim for relief. </w:t>
      </w:r>
      <w:bookmarkStart w:id="81" w:name="Bookmark_I5FNG9HD28T4K90040000400"/>
      <w:bookmarkEnd w:id="81"/>
      <w:hyperlink r:id="rId57" w:history="1">
        <w:r>
          <w:rPr>
            <w:rFonts w:ascii="arial" w:eastAsia="arial" w:hAnsi="arial" w:cs="arial"/>
            <w:b w:val="0"/>
            <w:i/>
            <w:strike w:val="0"/>
            <w:noProof w:val="0"/>
            <w:color w:val="0077CC"/>
            <w:position w:val="0"/>
            <w:sz w:val="20"/>
            <w:u w:val="single"/>
            <w:vertAlign w:val="baseline"/>
          </w:rPr>
          <w:t>Ashcroft v. Iqbal</w:t>
        </w:r>
      </w:hyperlink>
      <w:hyperlink r:id="rId57"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82" w:name="Bookmark_I5FNG9HD2SF8930010000400"/>
      <w:bookmarkEnd w:id="82"/>
      <w:hyperlink r:id="rId58" w:history="1">
        <w:r>
          <w:rPr>
            <w:rFonts w:ascii="arial" w:eastAsia="arial" w:hAnsi="arial" w:cs="arial"/>
            <w:b w:val="0"/>
            <w:i/>
            <w:strike w:val="0"/>
            <w:noProof w:val="0"/>
            <w:color w:val="0077CC"/>
            <w:position w:val="0"/>
            <w:sz w:val="20"/>
            <w:u w:val="single"/>
            <w:vertAlign w:val="baseline"/>
          </w:rPr>
          <w:t>Bell Atl. Corp. v. Twombly</w:t>
        </w:r>
      </w:hyperlink>
      <w:hyperlink r:id="rId58"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3" w:name="Bookmark_I5FNG9HD2SF8930030000400"/>
      <w:bookmarkEnd w:id="83"/>
      <w:hyperlink r:id="rId59" w:history="1">
        <w:r>
          <w:rPr>
            <w:rFonts w:ascii="arial" w:eastAsia="arial" w:hAnsi="arial" w:cs="arial"/>
            <w:b w:val="0"/>
            <w:i/>
            <w:strike w:val="0"/>
            <w:noProof w:val="0"/>
            <w:color w:val="0077CC"/>
            <w:position w:val="0"/>
            <w:sz w:val="20"/>
            <w:u w:val="single"/>
            <w:vertAlign w:val="baseline"/>
          </w:rPr>
          <w:t>Leeds v. Meltz</w:t>
        </w:r>
      </w:hyperlink>
      <w:hyperlink r:id="rId59" w:history="1">
        <w:r>
          <w:rPr>
            <w:rFonts w:ascii="arial" w:eastAsia="arial" w:hAnsi="arial" w:cs="arial"/>
            <w:b w:val="0"/>
            <w:i/>
            <w:strike w:val="0"/>
            <w:noProof w:val="0"/>
            <w:color w:val="0077CC"/>
            <w:position w:val="0"/>
            <w:sz w:val="20"/>
            <w:u w:val="single"/>
            <w:vertAlign w:val="baseline"/>
          </w:rPr>
          <w:t>, 85 F.3d 51, 53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7"/>
      <w:bookmarkEnd w:id="84"/>
      <w:bookmarkStart w:id="85" w:name="Bookmark_LNHNREFclscc3"/>
      <w:bookmarkEnd w:id="85"/>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86" w:name="Bookmark_I4969FY9YRJ000HF4VM0002Y"/>
      <w:bookmarkEnd w:id="86"/>
      <w:bookmarkStart w:id="87" w:name="Bookmark_I4969FYB3JP000HF4VM00030"/>
      <w:bookmarkEnd w:id="87"/>
      <w:bookmarkStart w:id="88" w:name="Bookmark_I5FNG9HD2SF8940010000400"/>
      <w:bookmarkEnd w:id="88"/>
      <w:bookmarkStart w:id="89" w:name="Bookmark_I5FNG9HD2SF8940050000400"/>
      <w:bookmarkEnd w:id="89"/>
      <w:bookmarkStart w:id="90" w:name="Bookmark_I5FNG9HD2HM6J90020000400"/>
      <w:bookmarkEnd w:id="9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and assert a cause of action with enough heft to show entitlement to relief and "enough facts to state a claim to relief that is plausible on its face." </w:t>
      </w:r>
      <w:bookmarkStart w:id="91" w:name="Bookmark_I5FNG9HD2SF8930050000400"/>
      <w:bookmarkEnd w:id="91"/>
      <w:hyperlink r:id="rId58" w:history="1">
        <w:r>
          <w:rPr>
            <w:rFonts w:ascii="arial" w:eastAsia="arial" w:hAnsi="arial" w:cs="arial"/>
            <w:b w:val="0"/>
            <w:i/>
            <w:strike w:val="0"/>
            <w:noProof w:val="0"/>
            <w:color w:val="0077CC"/>
            <w:position w:val="0"/>
            <w:sz w:val="20"/>
            <w:u w:val="single"/>
            <w:vertAlign w:val="baseline"/>
          </w:rPr>
          <w:t>550 U.S. at 555,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FNG9HD2SF8940020000400"/>
      <w:bookmarkEnd w:id="92"/>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 The plausibility standard set forth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obligates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the plaintiff to "provide the grounds of his entitlement to relief" through more than "labels and conclusions, and a formulaic recitation of the elements of a cause of action." </w:t>
      </w:r>
      <w:bookmarkStart w:id="93" w:name="Bookmark_I5FNG9HD2SF8940040000400"/>
      <w:bookmarkEnd w:id="93"/>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(quotation marks omitted). Plausibility at the pleading stage is nonetheless distinct from </w:t>
      </w:r>
      <w:r>
        <w:rPr>
          <w:rFonts w:ascii="arial" w:eastAsia="arial" w:hAnsi="arial" w:cs="arial"/>
          <w:b w:val="0"/>
          <w:i/>
          <w:strike w:val="0"/>
          <w:noProof w:val="0"/>
          <w:color w:val="000000"/>
          <w:position w:val="0"/>
          <w:sz w:val="20"/>
          <w:u w:val="none"/>
          <w:vertAlign w:val="baseline"/>
        </w:rPr>
        <w:t>probability</w:t>
      </w:r>
      <w:r>
        <w:rPr>
          <w:rFonts w:ascii="arial" w:eastAsia="arial" w:hAnsi="arial" w:cs="arial"/>
          <w:b w:val="0"/>
          <w:i w:val="0"/>
          <w:strike w:val="0"/>
          <w:noProof w:val="0"/>
          <w:color w:val="000000"/>
          <w:position w:val="0"/>
          <w:sz w:val="20"/>
          <w:u w:val="none"/>
          <w:vertAlign w:val="baseline"/>
        </w:rPr>
        <w:t xml:space="preserve">, and "a well-pleaded complaint may proceed even if it strikes a savvy judge that actual proof of [the claims] is improbable, and . . . recovery is very remote and unlikely." </w:t>
      </w:r>
      <w:bookmarkStart w:id="94" w:name="Bookmark_I5FNG9HD2HM6J90010000400"/>
      <w:bookmarkEnd w:id="9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556</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Factual and Legal Background</w:t>
      </w:r>
    </w:p>
    <w:p>
      <w:pPr>
        <w:keepNext w:val="0"/>
        <w:widowControl w:val="0"/>
        <w:spacing w:before="240" w:after="0" w:line="260" w:lineRule="atLeast"/>
        <w:ind w:left="0" w:right="0" w:firstLine="0"/>
        <w:jc w:val="both"/>
      </w:pPr>
      <w:bookmarkStart w:id="95" w:name="Bookmark_para_8"/>
      <w:bookmarkEnd w:id="95"/>
      <w:bookmarkStart w:id="96" w:name="Bookmark_I5FNG9HD2HM6J90040000400"/>
      <w:bookmarkEnd w:id="96"/>
      <w:r>
        <w:rPr>
          <w:rFonts w:ascii="arial" w:eastAsia="arial" w:hAnsi="arial" w:cs="arial"/>
          <w:b w:val="0"/>
          <w:i w:val="0"/>
          <w:strike w:val="0"/>
          <w:noProof w:val="0"/>
          <w:color w:val="000000"/>
          <w:position w:val="0"/>
          <w:sz w:val="20"/>
          <w:u w:val="none"/>
          <w:vertAlign w:val="baseline"/>
        </w:rPr>
        <w:t xml:space="preserve">This case arises at the intersection of two areas of law that would seem to be naturally at odds with one another: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law—procompetitive by design—which prohibits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certain forms of anticompetitive conduct, and patent law—anticompetitive by design—which seeks to encourage innovation by rewarding innovators with limited legal monopolies. The question at the heart of this case is whether a patent-litigation settlement—that is, an agreement to settle litigation that had put the legitimacy of a patent's grant of monopoly at issue—constituted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Two features dominate the background: (1) the incentives to undertake patent litigation under the Drug Price Competition and Patent Term Restoration Act, commonly known as the Hatch-Waxman Act, and (2) the uncertain but disruptive effect on such litigation of the Supreme Court's recent decision in </w:t>
      </w:r>
      <w:bookmarkStart w:id="97" w:name="Bookmark_I5FNG9HD2HM6J90030000400"/>
      <w:bookmarkEnd w:id="97"/>
      <w:hyperlink r:id="rId61" w:history="1">
        <w:r>
          <w:rPr>
            <w:rFonts w:ascii="arial" w:eastAsia="arial" w:hAnsi="arial" w:cs="arial"/>
            <w:b w:val="0"/>
            <w:i/>
            <w:strike w:val="0"/>
            <w:noProof w:val="0"/>
            <w:color w:val="0077CC"/>
            <w:position w:val="0"/>
            <w:sz w:val="20"/>
            <w:u w:val="single"/>
            <w:vertAlign w:val="baseline"/>
          </w:rPr>
          <w:t>FTC v. Actavis, Inc</w:t>
        </w:r>
      </w:hyperlink>
      <w:hyperlink r:id="rId61"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I discuss each in turn below, followed by a brief recitation of the central facts of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Hatch-Waxman Act and "Pay for Delay" Settlements</w:t>
      </w:r>
    </w:p>
    <w:p>
      <w:pPr>
        <w:keepNext w:val="0"/>
        <w:widowControl w:val="0"/>
        <w:spacing w:before="200" w:after="0" w:line="260" w:lineRule="atLeast"/>
        <w:ind w:left="0" w:right="0" w:firstLine="0"/>
        <w:jc w:val="both"/>
      </w:pPr>
      <w:bookmarkStart w:id="98" w:name="Bookmark_para_9"/>
      <w:bookmarkEnd w:id="98"/>
      <w:r>
        <w:rPr>
          <w:rFonts w:ascii="arial" w:eastAsia="arial" w:hAnsi="arial" w:cs="arial"/>
          <w:b w:val="0"/>
          <w:i w:val="0"/>
          <w:strike w:val="0"/>
          <w:noProof w:val="0"/>
          <w:color w:val="000000"/>
          <w:position w:val="0"/>
          <w:sz w:val="20"/>
          <w:u w:val="none"/>
          <w:vertAlign w:val="baseline"/>
        </w:rPr>
        <w:t>A pharmaceutical manufacturer seeking to introduce a new prescription drug to market must first obtain the approval of the FDA by filing a New Drug Application and undertaking an extensive and expensive testing process to demonstrate that the drug is safe and effective for its intended purpose. Under the Hatch-Waxman Act, a later manufacturer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a generic equivalent drug need not duplicate that effort, but may instead submit an Abbreviated New Drug Application that relies on the earlier scientific findings related to the already-approved brand-name drug. The abbreviated Hatch-Waxman process benefits consumers by expediting the introduction of low-cost generics to the market.</w:t>
      </w:r>
    </w:p>
    <w:p>
      <w:pPr>
        <w:keepNext w:val="0"/>
        <w:widowControl w:val="0"/>
        <w:spacing w:before="240" w:after="0" w:line="260" w:lineRule="atLeast"/>
        <w:ind w:left="0" w:right="0" w:firstLine="0"/>
        <w:jc w:val="both"/>
      </w:pPr>
      <w:bookmarkStart w:id="99" w:name="Bookmark_para_10"/>
      <w:bookmarkEnd w:id="99"/>
      <w:r>
        <w:rPr>
          <w:rFonts w:ascii="arial" w:eastAsia="arial" w:hAnsi="arial" w:cs="arial"/>
          <w:b w:val="0"/>
          <w:i w:val="0"/>
          <w:strike w:val="0"/>
          <w:noProof w:val="0"/>
          <w:color w:val="000000"/>
          <w:position w:val="0"/>
          <w:sz w:val="20"/>
          <w:u w:val="none"/>
          <w:vertAlign w:val="baseline"/>
        </w:rPr>
        <w:t xml:space="preserve">Hatch-Waxman also establishes special procedures relating to patent disputes and contains provisions that encourage patent challenges. A drug manufacturer filing a New Drug Application must list the number and expiration date of any relevant patent, and a manufacturer filing an Abbreviated New Drug Application must indicate the relationship of its generic drug to any such previously-listed patent in one of several ways. The manufacturer of the generic must certify either that no such patent has been filed, that such patent has expired, the date on which such patent will expire, or "that such patent is invalid or will not be infringed by ... the new drug." </w:t>
      </w:r>
      <w:hyperlink r:id="rId62"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That assertion of invalidity or non-infringement is known as "Paragraph IV certification," and insofar as it is inaccurate, it statutorily constitutes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and may therefore provoke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litigation; it thus provides a procedure for challenging drug patents without starting production and sales of a possibly-infringing drug and potentially accruing damages. After Paragraph IV certification, the brand-name manufacturer may bring an infringement suit within 45 days and trigger an automatic stay of FDA approval of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the generic for 30 months or, if it requires less time than that, until adjudication of the validity of the challenged patent in a district court.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11"/>
      <w:bookmarkEnd w:id="101"/>
      <w:bookmarkStart w:id="102" w:name="Bookmark_I5FNG9HD28T4KM0010000400"/>
      <w:bookmarkEnd w:id="102"/>
      <w:r>
        <w:rPr>
          <w:rFonts w:ascii="arial" w:eastAsia="arial" w:hAnsi="arial" w:cs="arial"/>
          <w:b w:val="0"/>
          <w:i w:val="0"/>
          <w:strike w:val="0"/>
          <w:noProof w:val="0"/>
          <w:color w:val="000000"/>
          <w:position w:val="0"/>
          <w:sz w:val="20"/>
          <w:u w:val="none"/>
          <w:vertAlign w:val="baseline"/>
        </w:rPr>
        <w:t xml:space="preserve">As an incentive to make such challenges, Hatch-Waxman provides an exclusivity period of 180 days (from the first marketing of the generic) to the first manufacturer to file an Abbreviated New Drug Application with Paragraph IV certification, during which time no other Abbreviated New Drug Application will be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observed that the 180-day exclusivity period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can be tremendously valuable, possibly worth hundreds of millions of dollars and a majority of the potential profits for a generic drug. </w:t>
      </w:r>
      <w:bookmarkStart w:id="103" w:name="Bookmark_I5FNG9HD2HM6J90050000400"/>
      <w:bookmarkEnd w:id="103"/>
      <w:hyperlink r:id="rId61" w:history="1">
        <w:r>
          <w:rPr>
            <w:rFonts w:ascii="arial" w:eastAsia="arial" w:hAnsi="arial" w:cs="arial"/>
            <w:b w:val="0"/>
            <w:i/>
            <w:strike w:val="0"/>
            <w:noProof w:val="0"/>
            <w:color w:val="0077CC"/>
            <w:position w:val="0"/>
            <w:sz w:val="20"/>
            <w:u w:val="single"/>
            <w:vertAlign w:val="baseline"/>
          </w:rPr>
          <w:t>133 S. Ct. at 2229</w:t>
        </w:r>
      </w:hyperlink>
      <w:r>
        <w:rPr>
          <w:rFonts w:ascii="arial" w:eastAsia="arial" w:hAnsi="arial" w:cs="arial"/>
          <w:b w:val="0"/>
          <w:i w:val="0"/>
          <w:strike w:val="0"/>
          <w:noProof w:val="0"/>
          <w:color w:val="000000"/>
          <w:position w:val="0"/>
          <w:sz w:val="20"/>
          <w:u w:val="none"/>
          <w:vertAlign w:val="baseline"/>
        </w:rPr>
        <w:t xml:space="preserve"> (citing scholarship and a statement of the Generic Pharmaceutical Association).</w:t>
      </w:r>
    </w:p>
    <w:p>
      <w:pPr>
        <w:keepNext w:val="0"/>
        <w:widowControl w:val="0"/>
        <w:spacing w:before="200" w:after="0" w:line="260" w:lineRule="atLeast"/>
        <w:ind w:left="0" w:right="0" w:firstLine="0"/>
        <w:jc w:val="both"/>
      </w:pPr>
      <w:bookmarkStart w:id="104" w:name="Bookmark_para_12"/>
      <w:bookmarkEnd w:id="104"/>
      <w:r>
        <w:rPr>
          <w:rFonts w:ascii="arial" w:eastAsia="arial" w:hAnsi="arial" w:cs="arial"/>
          <w:b w:val="0"/>
          <w:i w:val="0"/>
          <w:strike w:val="0"/>
          <w:noProof w:val="0"/>
          <w:color w:val="000000"/>
          <w:position w:val="0"/>
          <w:sz w:val="20"/>
          <w:u w:val="none"/>
          <w:vertAlign w:val="baseline"/>
        </w:rPr>
        <w:t xml:space="preserve">Manufacturers of generic drugs have obvious motivation to bring Paragraph IV challenges to patents they believe are vulnerable; and because brand-name drugs sell at such high premiums, their manufacturers have obvious motivation to meet those challenges with infringement suits. But defending patents can be expensive, so brand-name manufacturers may also be motivated to settle the suits—all the more so if they suspect their challenged patents may indeed be vulnerable. Such settlements result in unusual dynamics. For instance, it sometimes happens that the parties settle under terms that require </w:t>
      </w:r>
      <w:r>
        <w:rPr>
          <w:rFonts w:ascii="arial" w:eastAsia="arial" w:hAnsi="arial" w:cs="arial"/>
          <w:b w:val="0"/>
          <w:i/>
          <w:strike w:val="0"/>
          <w:noProof w:val="0"/>
          <w:color w:val="000000"/>
          <w:position w:val="0"/>
          <w:sz w:val="20"/>
          <w:u w:val="none"/>
          <w:vertAlign w:val="baseline"/>
        </w:rPr>
        <w:t>the plaintiff patent-holder</w:t>
      </w:r>
      <w:r>
        <w:rPr>
          <w:rFonts w:ascii="arial" w:eastAsia="arial" w:hAnsi="arial" w:cs="arial"/>
          <w:b w:val="0"/>
          <w:i w:val="0"/>
          <w:strike w:val="0"/>
          <w:noProof w:val="0"/>
          <w:color w:val="000000"/>
          <w:position w:val="0"/>
          <w:sz w:val="20"/>
          <w:u w:val="none"/>
          <w:vertAlign w:val="baseline"/>
        </w:rPr>
        <w:t xml:space="preserve"> to pay </w:t>
      </w:r>
      <w:r>
        <w:rPr>
          <w:rFonts w:ascii="arial" w:eastAsia="arial" w:hAnsi="arial" w:cs="arial"/>
          <w:b w:val="0"/>
          <w:i/>
          <w:strike w:val="0"/>
          <w:noProof w:val="0"/>
          <w:color w:val="000000"/>
          <w:position w:val="0"/>
          <w:sz w:val="20"/>
          <w:u w:val="none"/>
          <w:vertAlign w:val="baseline"/>
        </w:rPr>
        <w:t>the defendant infringer</w:t>
      </w:r>
      <w:r>
        <w:rPr>
          <w:rFonts w:ascii="arial" w:eastAsia="arial" w:hAnsi="arial" w:cs="arial"/>
          <w:b w:val="0"/>
          <w:i w:val="0"/>
          <w:strike w:val="0"/>
          <w:noProof w:val="0"/>
          <w:color w:val="000000"/>
          <w:position w:val="0"/>
          <w:sz w:val="20"/>
          <w:u w:val="none"/>
          <w:vertAlign w:val="baseline"/>
        </w:rPr>
        <w:t>—sometimes called a "reverse payment" settlement agreement—and to permit the defendant to begin producing a generic at a future date, but a date that is earlier than the expiration of the patent, in exchange for the defendant dropping its patent challenge. Assuming the patent is valid, and that the patent-holder would ultimately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prevail, such a settlement means that the patent-holder is avoiding the cost of litigation by agreeing to shorten the length of its legal monopoly and to share some of its monopoly profits with the challenger. Consumers benefit by enjoying the lower prices of generics sooner than they otherwise would under the patent. Assuming, however, that the patent is invalid, and that the challenger would ultimately prevail, then such a settlement amounts to a "pay to delay" agreement: the patent-holder's monopoly is illegitimate, and it is paying a would-be competitor to delay its entry into the market. Consumers who should enjoy competitive prices now will instead pay monopoly prices until the end of the term of the anticompetitive collusion. The availability of such settlements allows manufacturers of brand-name drugs to avoid the invalidation of potentially weak patents and keep prices high by sharing their monopoly profits with manufacturers of generics.</w:t>
      </w:r>
    </w:p>
    <w:p>
      <w:pPr>
        <w:keepNext w:val="0"/>
        <w:widowControl w:val="0"/>
        <w:spacing w:before="240" w:after="0" w:line="260" w:lineRule="atLeast"/>
        <w:ind w:left="0" w:right="0" w:firstLine="0"/>
        <w:jc w:val="both"/>
      </w:pPr>
      <w:bookmarkStart w:id="105" w:name="Bookmark_para_13"/>
      <w:bookmarkEnd w:id="105"/>
      <w:bookmarkStart w:id="106" w:name="Bookmark_I4969FYBC70000HF4VM00032"/>
      <w:bookmarkEnd w:id="106"/>
      <w:bookmarkStart w:id="107" w:name="Bookmark_I4969FYB7CV000HF4VM00031"/>
      <w:bookmarkEnd w:id="107"/>
      <w:bookmarkStart w:id="108" w:name="Bookmark_I5FNG9HD28T4KM0030000400"/>
      <w:bookmarkEnd w:id="108"/>
      <w:r>
        <w:rPr>
          <w:rFonts w:ascii="arial" w:eastAsia="arial" w:hAnsi="arial" w:cs="arial"/>
          <w:b w:val="0"/>
          <w:i w:val="0"/>
          <w:strike w:val="0"/>
          <w:noProof w:val="0"/>
          <w:color w:val="000000"/>
          <w:position w:val="0"/>
          <w:sz w:val="20"/>
          <w:u w:val="none"/>
          <w:vertAlign w:val="baseline"/>
        </w:rPr>
        <w:t xml:space="preserve">Is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Several courts of appeals, including the Second Circuit, have said no, at least absent fraud in obtaining the patent and so long as the settlement terms are within its scope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consumers will not face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longer period of monopoly under the settlement than they would have faced under the patent, implicitly presuming the patent's validity). </w:t>
      </w:r>
      <w:bookmarkStart w:id="109" w:name="Bookmark_I4969FYBRDP000HF4VM00035"/>
      <w:bookmarkEnd w:id="109"/>
      <w:bookmarkStart w:id="110" w:name="Bookmark_I4969FYBFSD000HF4VM00033"/>
      <w:bookmarkEnd w:id="110"/>
      <w:bookmarkStart w:id="111" w:name="Bookmark_I5FNG9J22N1RW60020000400"/>
      <w:bookmarkEnd w:id="111"/>
      <w:r>
        <w:rPr>
          <w:rFonts w:ascii="arial" w:eastAsia="arial" w:hAnsi="arial" w:cs="arial"/>
          <w:b w:val="0"/>
          <w:i/>
          <w:strike w:val="0"/>
          <w:noProof w:val="0"/>
          <w:color w:val="000000"/>
          <w:position w:val="0"/>
          <w:sz w:val="20"/>
          <w:u w:val="none"/>
          <w:vertAlign w:val="baseline"/>
        </w:rPr>
        <w:t xml:space="preserve">See, e.g., </w:t>
      </w:r>
      <w:bookmarkStart w:id="112" w:name="Bookmark_I5FNG9HD28T4KM0020000400"/>
      <w:bookmarkEnd w:id="112"/>
      <w:hyperlink r:id="rId63"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466 F.3d 187 (2d Cir. 2006)</w:t>
        </w:r>
      </w:hyperlink>
      <w:r>
        <w:rPr>
          <w:rFonts w:ascii="arial" w:eastAsia="arial" w:hAnsi="arial" w:cs="arial"/>
          <w:b w:val="0"/>
          <w:i w:val="0"/>
          <w:strike w:val="0"/>
          <w:noProof w:val="0"/>
          <w:color w:val="000000"/>
          <w:position w:val="0"/>
          <w:sz w:val="20"/>
          <w:u w:val="none"/>
          <w:vertAlign w:val="baseline"/>
        </w:rPr>
        <w:t xml:space="preserve">; </w:t>
      </w:r>
      <w:bookmarkStart w:id="113" w:name="Bookmark_I5FNG9HD28T4KM0040000400"/>
      <w:bookmarkEnd w:id="113"/>
      <w:hyperlink r:id="rId64"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544 F.3d 1323 (Fed. Cir. 2008)</w:t>
        </w:r>
      </w:hyperlink>
      <w:r>
        <w:rPr>
          <w:rFonts w:ascii="arial" w:eastAsia="arial" w:hAnsi="arial" w:cs="arial"/>
          <w:b w:val="0"/>
          <w:i w:val="0"/>
          <w:strike w:val="0"/>
          <w:noProof w:val="0"/>
          <w:color w:val="000000"/>
          <w:position w:val="0"/>
          <w:sz w:val="20"/>
          <w:u w:val="none"/>
          <w:vertAlign w:val="baseline"/>
        </w:rPr>
        <w:t xml:space="preserve">. </w:t>
      </w:r>
      <w:bookmarkStart w:id="114" w:name="Bookmark_I5FNG9J22N1RW60020000400_2"/>
      <w:bookmarkEnd w:id="114"/>
      <w:bookmarkStart w:id="115" w:name="Bookmark_I4969FYPY4P000HF4VM0005Y"/>
      <w:bookmarkEnd w:id="115"/>
      <w:bookmarkStart w:id="116" w:name="Bookmark_I5FNG9JG2N1PS80010000400"/>
      <w:bookmarkEnd w:id="116"/>
      <w:r>
        <w:rPr>
          <w:rFonts w:ascii="arial" w:eastAsia="arial" w:hAnsi="arial" w:cs="arial"/>
          <w:b w:val="0"/>
          <w:i w:val="0"/>
          <w:strike w:val="0"/>
          <w:noProof w:val="0"/>
          <w:color w:val="000000"/>
          <w:position w:val="0"/>
          <w:sz w:val="20"/>
          <w:u w:val="none"/>
          <w:vertAlign w:val="baseline"/>
        </w:rPr>
        <w:t xml:space="preserve">Other courts of appeals have said yes, at least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unless a presumption of unlawful restraint of trade is rebutted. </w:t>
      </w:r>
      <w:r>
        <w:rPr>
          <w:rFonts w:ascii="arial" w:eastAsia="arial" w:hAnsi="arial" w:cs="arial"/>
          <w:b w:val="0"/>
          <w:i/>
          <w:strike w:val="0"/>
          <w:noProof w:val="0"/>
          <w:color w:val="000000"/>
          <w:position w:val="0"/>
          <w:sz w:val="20"/>
          <w:u w:val="none"/>
          <w:vertAlign w:val="baseline"/>
        </w:rPr>
        <w:t xml:space="preserve">See, e.g., </w:t>
      </w:r>
      <w:bookmarkStart w:id="117" w:name="Bookmark_I5FNG9J22N1RW60010000400"/>
      <w:bookmarkEnd w:id="117"/>
      <w:hyperlink r:id="rId65" w:history="1">
        <w:r>
          <w:rPr>
            <w:rFonts w:ascii="arial" w:eastAsia="arial" w:hAnsi="arial" w:cs="arial"/>
            <w:b w:val="0"/>
            <w:i/>
            <w:strike w:val="0"/>
            <w:noProof w:val="0"/>
            <w:color w:val="0077CC"/>
            <w:position w:val="0"/>
            <w:sz w:val="20"/>
            <w:u w:val="single"/>
            <w:vertAlign w:val="baseline"/>
          </w:rPr>
          <w:t xml:space="preserve">In re K-Dur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686 F.3d 197 (3d Cir. 2012)</w:t>
        </w:r>
      </w:hyperlink>
      <w:r>
        <w:rPr>
          <w:rFonts w:ascii="arial" w:eastAsia="arial" w:hAnsi="arial" w:cs="arial"/>
          <w:b w:val="0"/>
          <w:i w:val="0"/>
          <w:strike w:val="0"/>
          <w:noProof w:val="0"/>
          <w:color w:val="000000"/>
          <w:position w:val="0"/>
          <w:sz w:val="20"/>
          <w:u w:val="none"/>
          <w:vertAlign w:val="baseline"/>
        </w:rPr>
        <w:t xml:space="preserve">; </w:t>
      </w:r>
      <w:bookmarkStart w:id="118" w:name="Bookmark_I5FNG9J22N1RW60030000400"/>
      <w:bookmarkEnd w:id="118"/>
      <w:hyperlink r:id="rId66" w:history="1">
        <w:r>
          <w:rPr>
            <w:rFonts w:ascii="arial" w:eastAsia="arial" w:hAnsi="arial" w:cs="arial"/>
            <w:b w:val="0"/>
            <w:i/>
            <w:strike w:val="0"/>
            <w:noProof w:val="0"/>
            <w:color w:val="0077CC"/>
            <w:position w:val="0"/>
            <w:sz w:val="20"/>
            <w:u w:val="single"/>
            <w:vertAlign w:val="baseline"/>
          </w:rPr>
          <w:t xml:space="preserve">In re Cardizem CD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332 F.3d 896 (6th Cir. 2003)</w:t>
        </w:r>
      </w:hyperlink>
      <w:r>
        <w:rPr>
          <w:rFonts w:ascii="arial" w:eastAsia="arial" w:hAnsi="arial" w:cs="arial"/>
          <w:b w:val="0"/>
          <w:i w:val="0"/>
          <w:strike w:val="0"/>
          <w:noProof w:val="0"/>
          <w:color w:val="000000"/>
          <w:position w:val="0"/>
          <w:sz w:val="20"/>
          <w:u w:val="none"/>
          <w:vertAlign w:val="baseline"/>
        </w:rPr>
        <w:t xml:space="preserve">. </w:t>
      </w:r>
      <w:bookmarkStart w:id="119" w:name="Bookmark_I5FNG9JG2N1PS80010000400_2"/>
      <w:bookmarkEnd w:id="119"/>
      <w:r>
        <w:rPr>
          <w:rFonts w:ascii="arial" w:eastAsia="arial" w:hAnsi="arial" w:cs="arial"/>
          <w:b w:val="0"/>
          <w:i w:val="0"/>
          <w:strike w:val="0"/>
          <w:noProof w:val="0"/>
          <w:color w:val="000000"/>
          <w:position w:val="0"/>
          <w:sz w:val="20"/>
          <w:u w:val="none"/>
          <w:vertAlign w:val="baseline"/>
        </w:rPr>
        <w:t xml:space="preserve">The Supreme Court in </w:t>
      </w:r>
      <w:bookmarkStart w:id="120" w:name="Bookmark_I5FNG9J22N1RW60050000400"/>
      <w:bookmarkEnd w:id="120"/>
      <w:hyperlink r:id="rId61"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abrogating those decisions, said "sometimes."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Actavis Decision</w:t>
      </w:r>
    </w:p>
    <w:p>
      <w:pPr>
        <w:keepNext w:val="0"/>
        <w:widowControl w:val="0"/>
        <w:spacing w:before="240" w:after="0" w:line="260" w:lineRule="atLeast"/>
        <w:ind w:left="0" w:right="0" w:firstLine="0"/>
        <w:jc w:val="both"/>
      </w:pPr>
      <w:bookmarkStart w:id="121" w:name="Bookmark_para_14"/>
      <w:bookmarkEnd w:id="121"/>
      <w:r>
        <w:rPr>
          <w:rFonts w:ascii="arial" w:eastAsia="arial" w:hAnsi="arial" w:cs="arial"/>
          <w:b w:val="0"/>
          <w:i w:val="0"/>
          <w:strike w:val="0"/>
          <w:noProof w:val="0"/>
          <w:color w:val="000000"/>
          <w:position w:val="0"/>
          <w:sz w:val="20"/>
          <w:u w:val="none"/>
          <w:vertAlign w:val="baseline"/>
        </w:rPr>
        <w:t xml:space="preserve">The facts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 most essentials follow the discussion above: Solvay Pharmaceuticals filed a New Drug Application for a brand-name drug, obtained approval, and later a patent. Actavis, Inc. (among others) filed an Abbreviated New Drug Application for a generic equivalent and certified under Paragraph IV that Solvay's patent was invalid and the proposed generic would not infringe it. Solvay responded with litigation, which later settled, and the terms of the settlement guaranteed Actavis millions of dollars in annual payments from Solvay and allowed it to bring its generic to market at some time before the disputed patent expired, but not immediately. </w:t>
      </w:r>
      <w:bookmarkStart w:id="122" w:name="Bookmark_I4969FYC4X4000HF4VM00038"/>
      <w:bookmarkEnd w:id="122"/>
      <w:bookmarkStart w:id="123" w:name="Bookmark_I4969FYC130000HF4VM00037"/>
      <w:bookmarkEnd w:id="123"/>
      <w:bookmarkStart w:id="124" w:name="Bookmark_I5FNG9JG2N1PS80030000400"/>
      <w:bookmarkEnd w:id="124"/>
      <w:r>
        <w:rPr>
          <w:rFonts w:ascii="arial" w:eastAsia="arial" w:hAnsi="arial" w:cs="arial"/>
          <w:b w:val="0"/>
          <w:i w:val="0"/>
          <w:strike w:val="0"/>
          <w:noProof w:val="0"/>
          <w:color w:val="000000"/>
          <w:position w:val="0"/>
          <w:sz w:val="20"/>
          <w:u w:val="none"/>
          <w:vertAlign w:val="baseline"/>
        </w:rPr>
        <w:t>Actavis also agreed to provide some services, such as promoting the brand-name drug, and the companies described the payments as compensation for those services.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FTC sued, alleging that the services had little value and that the purpose of the payments was to compensate a would-be competitor for agreeing to delay competition. The district court held that the FTC failed to set forth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25" w:name="Bookmark_I5FNG9JG2N1PS80020000400"/>
      <w:bookmarkEnd w:id="125"/>
      <w:hyperlink r:id="rId67" w:history="1">
        <w:r>
          <w:rPr>
            <w:rFonts w:ascii="arial" w:eastAsia="arial" w:hAnsi="arial" w:cs="arial"/>
            <w:b w:val="0"/>
            <w:i/>
            <w:strike w:val="0"/>
            <w:noProof w:val="0"/>
            <w:color w:val="0077CC"/>
            <w:position w:val="0"/>
            <w:sz w:val="20"/>
            <w:u w:val="single"/>
            <w:vertAlign w:val="baseline"/>
          </w:rPr>
          <w:t xml:space="preserve">In re Androgel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Litigation (No. II)</w:t>
        </w:r>
      </w:hyperlink>
      <w:hyperlink r:id="rId67" w:history="1">
        <w:r>
          <w:rPr>
            <w:rFonts w:ascii="arial" w:eastAsia="arial" w:hAnsi="arial" w:cs="arial"/>
            <w:b w:val="0"/>
            <w:i/>
            <w:strike w:val="0"/>
            <w:noProof w:val="0"/>
            <w:color w:val="0077CC"/>
            <w:position w:val="0"/>
            <w:sz w:val="20"/>
            <w:u w:val="single"/>
            <w:vertAlign w:val="baseline"/>
          </w:rPr>
          <w:t>, 687 F. Supp. 2d 1371, 1379 (N.D. Ga. 2010)</w:t>
        </w:r>
      </w:hyperlink>
      <w:r>
        <w:rPr>
          <w:rFonts w:ascii="arial" w:eastAsia="arial" w:hAnsi="arial" w:cs="arial"/>
          <w:b w:val="0"/>
          <w:i w:val="0"/>
          <w:strike w:val="0"/>
          <w:noProof w:val="0"/>
          <w:color w:val="000000"/>
          <w:position w:val="0"/>
          <w:sz w:val="20"/>
          <w:u w:val="none"/>
          <w:vertAlign w:val="baseline"/>
        </w:rPr>
        <w:t xml:space="preserve">, and the Eleventh Circuit affirmed, writing that "absent sham litigation or fraud in obtaining the patent, a reverse payment settlement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w:t>
      </w:r>
      <w:bookmarkStart w:id="126" w:name="Bookmark_I5FNG9JG2N1PS80040000400"/>
      <w:bookmarkEnd w:id="126"/>
      <w:hyperlink r:id="rId68" w:history="1">
        <w:r>
          <w:rPr>
            <w:rFonts w:ascii="arial" w:eastAsia="arial" w:hAnsi="arial" w:cs="arial"/>
            <w:b w:val="0"/>
            <w:i/>
            <w:strike w:val="0"/>
            <w:noProof w:val="0"/>
            <w:color w:val="0077CC"/>
            <w:position w:val="0"/>
            <w:sz w:val="20"/>
            <w:u w:val="single"/>
            <w:vertAlign w:val="baseline"/>
          </w:rPr>
          <w:t>FTC v. Watson Pharmaceuticals, Inc</w:t>
        </w:r>
      </w:hyperlink>
      <w:hyperlink r:id="rId68"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15"/>
      <w:bookmarkEnd w:id="127"/>
      <w:bookmarkStart w:id="128" w:name="Bookmark_I5FNG9JG2HM6XV0020000400"/>
      <w:bookmarkEnd w:id="128"/>
      <w:bookmarkStart w:id="129" w:name="Bookmark_I5FNG9JG2SF8NP0010000400"/>
      <w:bookmarkEnd w:id="129"/>
      <w:bookmarkStart w:id="130" w:name="Bookmark_I5FNG9JG2SF8NP0030000400"/>
      <w:bookmarkEnd w:id="130"/>
      <w:r>
        <w:rPr>
          <w:rFonts w:ascii="arial" w:eastAsia="arial" w:hAnsi="arial" w:cs="arial"/>
          <w:b w:val="0"/>
          <w:i w:val="0"/>
          <w:strike w:val="0"/>
          <w:noProof w:val="0"/>
          <w:color w:val="000000"/>
          <w:position w:val="0"/>
          <w:sz w:val="20"/>
          <w:u w:val="none"/>
          <w:vertAlign w:val="baseline"/>
        </w:rPr>
        <w:t xml:space="preserve">In a 5—3 opinion, the Supreme Court reversed the Eleventh Circuit, holding that such settlement agreements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31" w:name="Bookmark_I5FNG9JG2HM6XV0010000400"/>
      <w:bookmarkEnd w:id="131"/>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and that the plaintiff "should have been given the opportunity to prove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32" w:name="Bookmark_I5FNG9JG2HM6XV0030000400"/>
      <w:bookmarkEnd w:id="132"/>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2234</w:t>
        </w:r>
      </w:hyperlink>
      <w:r>
        <w:rPr>
          <w:rFonts w:ascii="arial" w:eastAsia="arial" w:hAnsi="arial" w:cs="arial"/>
          <w:b w:val="0"/>
          <w:i w:val="0"/>
          <w:strike w:val="0"/>
          <w:noProof w:val="0"/>
          <w:color w:val="000000"/>
          <w:position w:val="0"/>
          <w:sz w:val="20"/>
          <w:u w:val="none"/>
          <w:vertAlign w:val="baseline"/>
        </w:rPr>
        <w:t xml:space="preserve">. </w:t>
      </w:r>
      <w:bookmarkStart w:id="133" w:name="Bookmark_I5FNG9JG2SF8NP0050000400"/>
      <w:bookmarkEnd w:id="133"/>
      <w:r>
        <w:rPr>
          <w:rFonts w:ascii="arial" w:eastAsia="arial" w:hAnsi="arial" w:cs="arial"/>
          <w:b w:val="0"/>
          <w:i w:val="0"/>
          <w:strike w:val="0"/>
          <w:noProof w:val="0"/>
          <w:color w:val="000000"/>
          <w:position w:val="0"/>
          <w:sz w:val="20"/>
          <w:u w:val="none"/>
          <w:vertAlign w:val="baseline"/>
        </w:rPr>
        <w:t xml:space="preserve">The Court reasoned that referring "simply to what the holder of a valid patent could do does not by itself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because </w:t>
      </w:r>
      <w:r>
        <w:rPr>
          <w:rFonts w:ascii="arial" w:eastAsia="arial" w:hAnsi="arial" w:cs="arial"/>
          <w:b w:val="0"/>
          <w:i/>
          <w:strike w:val="0"/>
          <w:noProof w:val="0"/>
          <w:color w:val="000000"/>
          <w:position w:val="0"/>
          <w:sz w:val="20"/>
          <w:u w:val="none"/>
          <w:vertAlign w:val="baseline"/>
        </w:rPr>
        <w:t>invalidated</w:t>
      </w:r>
      <w:r>
        <w:rPr>
          <w:rFonts w:ascii="arial" w:eastAsia="arial" w:hAnsi="arial" w:cs="arial"/>
          <w:b w:val="0"/>
          <w:i w:val="0"/>
          <w:strike w:val="0"/>
          <w:noProof w:val="0"/>
          <w:color w:val="000000"/>
          <w:position w:val="0"/>
          <w:sz w:val="20"/>
          <w:u w:val="none"/>
          <w:vertAlign w:val="baseline"/>
        </w:rPr>
        <w:t xml:space="preserve"> patents confer no right to exclude competition, and the Paragraph IV certification "put the patent's validity at issue, as well as its actual preclusive scope." </w:t>
      </w:r>
      <w:bookmarkStart w:id="134" w:name="Bookmark_I5FNG9JG2HM6XV0050000400"/>
      <w:bookmarkEnd w:id="134"/>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2230—31</w:t>
        </w:r>
      </w:hyperlink>
      <w:r>
        <w:rPr>
          <w:rFonts w:ascii="arial" w:eastAsia="arial" w:hAnsi="arial" w:cs="arial"/>
          <w:b w:val="0"/>
          <w:i w:val="0"/>
          <w:strike w:val="0"/>
          <w:noProof w:val="0"/>
          <w:color w:val="000000"/>
          <w:position w:val="0"/>
          <w:sz w:val="20"/>
          <w:u w:val="none"/>
          <w:vertAlign w:val="baseline"/>
        </w:rPr>
        <w:t>. It cited legislative history from prior to the enactment of the 2003 amendments—specifically, statements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Senator Hatch and Representative Waxman—that clearly condemns reverse-payment settlements, and went on to conclude that "a reverse payment, where large and unjustified, can bring with it the risk of significant anticompetitive effects." </w:t>
      </w:r>
      <w:bookmarkStart w:id="135" w:name="Bookmark_I5FNG9JG2SF8NP0020000400"/>
      <w:bookmarkEnd w:id="13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w:t>
      </w:r>
      <w:bookmarkStart w:id="136" w:name="Bookmark_I5FNG9JG2SF8NP0050000400_2"/>
      <w:bookmarkEnd w:id="136"/>
      <w:r>
        <w:rPr>
          <w:rFonts w:ascii="arial" w:eastAsia="arial" w:hAnsi="arial" w:cs="arial"/>
          <w:b w:val="0"/>
          <w:i w:val="0"/>
          <w:strike w:val="0"/>
          <w:noProof w:val="0"/>
          <w:color w:val="000000"/>
          <w:position w:val="0"/>
          <w:sz w:val="20"/>
          <w:u w:val="none"/>
          <w:vertAlign w:val="baseline"/>
        </w:rPr>
        <w:t xml:space="preserve">It declined to adopt the "quick look" approach, which would make such settlements presumptively illegal, because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instead adopted the "rule of reason" approach, but as for more specific guidance on how to analyze "the basic question—that of the presence of significant unjustified anticompetitive consequences," the Court "leave[s]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137" w:name="Bookmark_I5FNG9JG2SF8NP0040000400"/>
      <w:bookmarkEnd w:id="13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16"/>
      <w:bookmarkEnd w:id="138"/>
      <w:bookmarkStart w:id="139" w:name="Bookmark_I4969FYCDJD000HF4VM0003B"/>
      <w:bookmarkEnd w:id="139"/>
      <w:bookmarkStart w:id="140" w:name="Bookmark_I4969FYC8R8000HF4VM00039"/>
      <w:bookmarkEnd w:id="140"/>
      <w:bookmarkStart w:id="141" w:name="Bookmark_I4969FYCH3V000HF4VM0003C"/>
      <w:bookmarkEnd w:id="141"/>
      <w:bookmarkStart w:id="142" w:name="Bookmark_I4969FYCMY0000HF4VM0003D"/>
      <w:bookmarkEnd w:id="142"/>
      <w:bookmarkStart w:id="143" w:name="Bookmark_I4969FYCSS4000HF4VM0003F"/>
      <w:bookmarkEnd w:id="143"/>
      <w:bookmarkStart w:id="144" w:name="Bookmark_I4969FYCXK8000HF4VM0003G"/>
      <w:bookmarkEnd w:id="144"/>
      <w:bookmarkStart w:id="145" w:name="Bookmark_I4969FYD2DD000HF4VM0003H"/>
      <w:bookmarkEnd w:id="145"/>
      <w:bookmarkStart w:id="146" w:name="Bookmark_I4969FYD67J000HF4VM0003J"/>
      <w:bookmarkEnd w:id="146"/>
      <w:bookmarkStart w:id="147" w:name="Bookmark_I5FNG9JG28T5040020000400"/>
      <w:bookmarkEnd w:id="147"/>
      <w:r>
        <w:rPr>
          <w:rFonts w:ascii="arial" w:eastAsia="arial" w:hAnsi="arial" w:cs="arial"/>
          <w:b w:val="0"/>
          <w:i w:val="0"/>
          <w:strike w:val="0"/>
          <w:noProof w:val="0"/>
          <w:color w:val="000000"/>
          <w:position w:val="0"/>
          <w:sz w:val="20"/>
          <w:u w:val="none"/>
          <w:vertAlign w:val="baseline"/>
        </w:rPr>
        <w:t xml:space="preserve">Several district courts have already applied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with not entirely consistent results. </w:t>
      </w:r>
      <w:bookmarkStart w:id="148" w:name="Bookmark_I4969FYN090000HF4VM0005D"/>
      <w:bookmarkEnd w:id="148"/>
      <w:bookmarkStart w:id="149" w:name="Bookmark_I5FNG9JR2SF8T00030000400"/>
      <w:bookmarkEnd w:id="149"/>
      <w:r>
        <w:rPr>
          <w:rFonts w:ascii="arial" w:eastAsia="arial" w:hAnsi="arial" w:cs="arial"/>
          <w:b w:val="0"/>
          <w:i/>
          <w:strike w:val="0"/>
          <w:noProof w:val="0"/>
          <w:color w:val="000000"/>
          <w:position w:val="0"/>
          <w:sz w:val="20"/>
          <w:u w:val="none"/>
          <w:vertAlign w:val="baseline"/>
        </w:rPr>
        <w:t xml:space="preserve">See </w:t>
      </w:r>
      <w:bookmarkStart w:id="150" w:name="Bookmark_I5FNG9JG28T5040010000400"/>
      <w:bookmarkEnd w:id="150"/>
      <w:hyperlink r:id="rId69" w:history="1">
        <w:r>
          <w:rPr>
            <w:rFonts w:ascii="arial" w:eastAsia="arial" w:hAnsi="arial" w:cs="arial"/>
            <w:b w:val="0"/>
            <w:i/>
            <w:strike w:val="0"/>
            <w:noProof w:val="0"/>
            <w:color w:val="0077CC"/>
            <w:position w:val="0"/>
            <w:sz w:val="20"/>
            <w:u w:val="single"/>
            <w:vertAlign w:val="baseline"/>
          </w:rPr>
          <w:t>King Drug Co. of Florence v. Cephalon, Inc</w:t>
        </w:r>
      </w:hyperlink>
      <w:hyperlink r:id="rId69" w:history="1">
        <w:r>
          <w:rPr>
            <w:rFonts w:ascii="arial" w:eastAsia="arial" w:hAnsi="arial" w:cs="arial"/>
            <w:b w:val="0"/>
            <w:i/>
            <w:strike w:val="0"/>
            <w:noProof w:val="0"/>
            <w:color w:val="0077CC"/>
            <w:position w:val="0"/>
            <w:sz w:val="20"/>
            <w:u w:val="single"/>
            <w:vertAlign w:val="baseline"/>
          </w:rPr>
          <w:t>., No. 2:06-CV-1797, 88 F. Supp. 3d 402, 2015 U.S. Dist. LEXIS 9545, 2015 WL 356913 (E.D. Pa. Jan. 28,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w:t>
      </w:r>
      <w:bookmarkStart w:id="151" w:name="Bookmark_I5FNG9JG28T5040030000400"/>
      <w:bookmarkEnd w:id="151"/>
      <w:hyperlink r:id="rId70" w:history="1">
        <w:r>
          <w:rPr>
            <w:rFonts w:ascii="arial" w:eastAsia="arial" w:hAnsi="arial" w:cs="arial"/>
            <w:b w:val="0"/>
            <w:i/>
            <w:strike w:val="0"/>
            <w:noProof w:val="0"/>
            <w:color w:val="0077CC"/>
            <w:position w:val="0"/>
            <w:sz w:val="20"/>
            <w:u w:val="single"/>
            <w:vertAlign w:val="baseline"/>
          </w:rPr>
          <w:t>United Food &amp; Commercial Workers Local 1776 &amp; Participating Emp'rs Health &amp; Welfare Fund v. Teikoku Pharma USA, Inc</w:t>
        </w:r>
      </w:hyperlink>
      <w:hyperlink r:id="rId70" w:history="1">
        <w:r>
          <w:rPr>
            <w:rFonts w:ascii="arial" w:eastAsia="arial" w:hAnsi="arial" w:cs="arial"/>
            <w:b w:val="0"/>
            <w:i/>
            <w:strike w:val="0"/>
            <w:noProof w:val="0"/>
            <w:color w:val="0077CC"/>
            <w:position w:val="0"/>
            <w:sz w:val="20"/>
            <w:u w:val="single"/>
            <w:vertAlign w:val="baseline"/>
          </w:rPr>
          <w:t>., No. 14-MD-02521-WHO, 74 F. Supp. 3d 1052, 2014 U.S. Dist. LEXIS 161069, 2014 WL 6465235 (N.D. Cal. Nov. 17,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52" w:name="Bookmark_I5FNG9JG28T5040050000400"/>
      <w:bookmarkEnd w:id="152"/>
      <w:hyperlink r:id="rId71" w:history="1">
        <w:r>
          <w:rPr>
            <w:rFonts w:ascii="arial" w:eastAsia="arial" w:hAnsi="arial" w:cs="arial"/>
            <w:b w:val="0"/>
            <w:i/>
            <w:strike w:val="0"/>
            <w:noProof w:val="0"/>
            <w:color w:val="0077CC"/>
            <w:position w:val="0"/>
            <w:sz w:val="20"/>
            <w:u w:val="single"/>
            <w:vertAlign w:val="baseline"/>
          </w:rPr>
          <w:t xml:space="preserve">In re Effexor XR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No. CIV. 11-5479 PGS,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w:t>
      </w:r>
      <w:bookmarkStart w:id="153" w:name="Bookmark_I5FNG9JR2N1PXH0020000400"/>
      <w:bookmarkEnd w:id="153"/>
      <w:hyperlink r:id="rId72" w:history="1">
        <w:r>
          <w:rPr>
            <w:rFonts w:ascii="arial" w:eastAsia="arial" w:hAnsi="arial" w:cs="arial"/>
            <w:b w:val="0"/>
            <w:i/>
            <w:strike w:val="0"/>
            <w:noProof w:val="0"/>
            <w:color w:val="0077CC"/>
            <w:position w:val="0"/>
            <w:sz w:val="20"/>
            <w:u w:val="single"/>
            <w:vertAlign w:val="baseline"/>
          </w:rPr>
          <w:t xml:space="preserve">In re Niaspan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42 F. Supp. 3d 735, 2014 WL 4403848 (E.D. Pa. 2014)</w:t>
        </w:r>
      </w:hyperlink>
      <w:r>
        <w:rPr>
          <w:rFonts w:ascii="arial" w:eastAsia="arial" w:hAnsi="arial" w:cs="arial"/>
          <w:b w:val="0"/>
          <w:i w:val="0"/>
          <w:strike w:val="0"/>
          <w:noProof w:val="0"/>
          <w:color w:val="000000"/>
          <w:position w:val="0"/>
          <w:sz w:val="20"/>
          <w:u w:val="none"/>
          <w:vertAlign w:val="baseline"/>
        </w:rPr>
        <w:t xml:space="preserve">; </w:t>
      </w:r>
      <w:bookmarkStart w:id="154" w:name="Bookmark_I5FNG9JR2N1PXH0040000400"/>
      <w:bookmarkEnd w:id="154"/>
      <w:hyperlink r:id="rId73" w:history="1">
        <w:r>
          <w:rPr>
            <w:rFonts w:ascii="arial" w:eastAsia="arial" w:hAnsi="arial" w:cs="arial"/>
            <w:b w:val="0"/>
            <w:i/>
            <w:strike w:val="0"/>
            <w:noProof w:val="0"/>
            <w:color w:val="0077CC"/>
            <w:position w:val="0"/>
            <w:sz w:val="20"/>
            <w:u w:val="single"/>
            <w:vertAlign w:val="baseline"/>
          </w:rPr>
          <w:t xml:space="preserve">In re Loestrin 24 Fe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No. 1:13-MD-2472-S-PAS, 45 F. Supp. 3d 180, 2014 U.S. Dist. LEXIS 123322, 2014 WL 4368924 (D.R.I. Sept. 4, 2014)</w:t>
        </w:r>
      </w:hyperlink>
      <w:r>
        <w:rPr>
          <w:rFonts w:ascii="arial" w:eastAsia="arial" w:hAnsi="arial" w:cs="arial"/>
          <w:b w:val="0"/>
          <w:i w:val="0"/>
          <w:strike w:val="0"/>
          <w:noProof w:val="0"/>
          <w:color w:val="000000"/>
          <w:position w:val="0"/>
          <w:sz w:val="20"/>
          <w:u w:val="none"/>
          <w:vertAlign w:val="baseline"/>
        </w:rPr>
        <w:t xml:space="preserve">; </w:t>
      </w:r>
      <w:bookmarkStart w:id="155" w:name="Bookmark_I5FNG9JR2SF8SY0010000400"/>
      <w:bookmarkEnd w:id="155"/>
      <w:hyperlink r:id="rId74"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18 F. Supp. 3d 560, 2014 WL 282755 (D.N.J. 2014)</w:t>
        </w:r>
      </w:hyperlink>
      <w:r>
        <w:rPr>
          <w:rFonts w:ascii="arial" w:eastAsia="arial" w:hAnsi="arial" w:cs="arial"/>
          <w:b w:val="0"/>
          <w:i w:val="0"/>
          <w:strike w:val="0"/>
          <w:noProof w:val="0"/>
          <w:color w:val="000000"/>
          <w:position w:val="0"/>
          <w:sz w:val="20"/>
          <w:u w:val="none"/>
          <w:vertAlign w:val="baseline"/>
        </w:rPr>
        <w:t xml:space="preserve">; </w:t>
      </w:r>
      <w:bookmarkStart w:id="156" w:name="Bookmark_I5FNG9JR2SF8SY0030000400"/>
      <w:bookmarkEnd w:id="156"/>
      <w:hyperlink r:id="rId7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968 F. Supp. 2d 367 (D. Mass. 2013)</w:t>
        </w:r>
      </w:hyperlink>
      <w:r>
        <w:rPr>
          <w:rFonts w:ascii="arial" w:eastAsia="arial" w:hAnsi="arial" w:cs="arial"/>
          <w:b w:val="0"/>
          <w:i w:val="0"/>
          <w:strike w:val="0"/>
          <w:noProof w:val="0"/>
          <w:color w:val="000000"/>
          <w:position w:val="0"/>
          <w:sz w:val="20"/>
          <w:u w:val="none"/>
          <w:vertAlign w:val="baseline"/>
        </w:rPr>
        <w:t xml:space="preserve">; </w:t>
      </w:r>
      <w:bookmarkStart w:id="157" w:name="Bookmark_I5FNG9JR2SF8SY0050000400"/>
      <w:bookmarkEnd w:id="157"/>
      <w:hyperlink r:id="rId76" w:history="1">
        <w:r>
          <w:rPr>
            <w:rFonts w:ascii="arial" w:eastAsia="arial" w:hAnsi="arial" w:cs="arial"/>
            <w:b w:val="0"/>
            <w:i/>
            <w:strike w:val="0"/>
            <w:noProof w:val="0"/>
            <w:color w:val="0077CC"/>
            <w:position w:val="0"/>
            <w:sz w:val="20"/>
            <w:u w:val="single"/>
            <w:vertAlign w:val="baseline"/>
          </w:rPr>
          <w:t xml:space="preserve">In re Lipitor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No. 3:12-CV-2389 PGS, 2013 U.S. Dist. LEXIS 126468, 2013 WL 4780496 (D.N.J. Sept. 5, 2013)</w:t>
        </w:r>
      </w:hyperlink>
      <w:r>
        <w:rPr>
          <w:rFonts w:ascii="arial" w:eastAsia="arial" w:hAnsi="arial" w:cs="arial"/>
          <w:b w:val="0"/>
          <w:i w:val="0"/>
          <w:strike w:val="0"/>
          <w:noProof w:val="0"/>
          <w:color w:val="000000"/>
          <w:position w:val="0"/>
          <w:sz w:val="20"/>
          <w:u w:val="none"/>
          <w:vertAlign w:val="baseline"/>
        </w:rPr>
        <w:t xml:space="preserve">. As of the date of this writing, at least one case applying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has been argued before a federal Court of Appeals—</w:t>
      </w:r>
      <w:r>
        <w:rPr>
          <w:rFonts w:ascii="arial" w:eastAsia="arial" w:hAnsi="arial" w:cs="arial"/>
          <w:b w:val="0"/>
          <w:i/>
          <w:strike w:val="0"/>
          <w:noProof w:val="0"/>
          <w:color w:val="000000"/>
          <w:position w:val="0"/>
          <w:sz w:val="20"/>
          <w:u w:val="none"/>
          <w:vertAlign w:val="baseline"/>
        </w:rPr>
        <w:t>In re Lamictal</w:t>
      </w:r>
      <w:r>
        <w:rPr>
          <w:rFonts w:ascii="arial" w:eastAsia="arial" w:hAnsi="arial" w:cs="arial"/>
          <w:b w:val="0"/>
          <w:i w:val="0"/>
          <w:strike w:val="0"/>
          <w:noProof w:val="0"/>
          <w:color w:val="000000"/>
          <w:position w:val="0"/>
          <w:sz w:val="20"/>
          <w:u w:val="none"/>
          <w:vertAlign w:val="baseline"/>
        </w:rPr>
        <w:t xml:space="preserve"> was argued at the Third Circuit in November 2014—but none of the circuits has yet issued an opinion interpreting it. There are some questions that arise in the application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the district courts may answer in divergent ways—questions like what constitutes a reverse "payment," and what makes one "large" and "unjustified." Some of those questions will surely end up in the Courts of Appeals, and perhaps eventually back again at the Supreme Court. </w:t>
      </w:r>
      <w:bookmarkStart w:id="158" w:name="Bookmark_I5FNG9JR2SF8T00030000400_2"/>
      <w:bookmarkEnd w:id="158"/>
      <w:r>
        <w:rPr>
          <w:rFonts w:ascii="arial" w:eastAsia="arial" w:hAnsi="arial" w:cs="arial"/>
          <w:b w:val="0"/>
          <w:i w:val="0"/>
          <w:strike w:val="0"/>
          <w:noProof w:val="0"/>
          <w:color w:val="000000"/>
          <w:position w:val="0"/>
          <w:sz w:val="20"/>
          <w:u w:val="none"/>
          <w:vertAlign w:val="baseline"/>
        </w:rPr>
        <w:t xml:space="preserve">As one of the courts above observed, "[w]e are confronting this issue early in a law refinement process that will take some time to shake out." </w:t>
      </w:r>
      <w:bookmarkStart w:id="159" w:name="Bookmark_I5FNG9JR2SF8T00020000400"/>
      <w:bookmarkEnd w:id="159"/>
      <w:hyperlink r:id="rId73" w:history="1">
        <w:r>
          <w:rPr>
            <w:rFonts w:ascii="arial" w:eastAsia="arial" w:hAnsi="arial" w:cs="arial"/>
            <w:b w:val="0"/>
            <w:i/>
            <w:strike w:val="0"/>
            <w:noProof w:val="0"/>
            <w:color w:val="0077CC"/>
            <w:position w:val="0"/>
            <w:sz w:val="20"/>
            <w:u w:val="single"/>
            <w:vertAlign w:val="baseline"/>
          </w:rPr>
          <w:t xml:space="preserve">In re Loestrin </w:t>
        </w:r>
      </w:hyperlink>
      <w:hyperlink r:id="rId73" w:history="1">
        <w:r>
          <w:rPr>
            <w:rFonts w:ascii="arial" w:eastAsia="arial" w:hAnsi="arial" w:cs="arial"/>
            <w:b w:val="0"/>
            <w:i/>
            <w:strike w:val="0"/>
            <w:noProof w:val="0"/>
            <w:color w:val="0077CC"/>
            <w:position w:val="0"/>
            <w:sz w:val="20"/>
            <w:u w:val="single"/>
            <w:vertAlign w:val="baseline"/>
          </w:rPr>
          <w:t xml:space="preserve">24 Fe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2014 U.S. Dist. LEXIS 123322, 2014 WL 4368924,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Aggrenox</w:t>
      </w:r>
    </w:p>
    <w:p>
      <w:pPr>
        <w:keepNext w:val="0"/>
        <w:widowControl w:val="0"/>
        <w:spacing w:before="240" w:after="0" w:line="260" w:lineRule="atLeast"/>
        <w:ind w:left="0" w:right="0" w:firstLine="0"/>
        <w:jc w:val="both"/>
      </w:pPr>
      <w:bookmarkStart w:id="160" w:name="Bookmark_para_17"/>
      <w:bookmarkEnd w:id="160"/>
      <w:bookmarkStart w:id="161" w:name="Bookmark_I4969FYR5H8000HF4VM00061"/>
      <w:bookmarkEnd w:id="161"/>
      <w:bookmarkStart w:id="162" w:name="Bookmark_I5FNG9JR2SF8T00050000400"/>
      <w:bookmarkEnd w:id="162"/>
      <w:r>
        <w:rPr>
          <w:rFonts w:ascii="arial" w:eastAsia="arial" w:hAnsi="arial" w:cs="arial"/>
          <w:b w:val="0"/>
          <w:i w:val="0"/>
          <w:strike w:val="0"/>
          <w:noProof w:val="0"/>
          <w:color w:val="000000"/>
          <w:position w:val="0"/>
          <w:sz w:val="20"/>
          <w:u w:val="none"/>
          <w:vertAlign w:val="baseline"/>
        </w:rPr>
        <w:t>The facts of the Aggrenox litigation, as they appear in the pleadings, are virtually identical in essential respects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those of </w:t>
      </w:r>
      <w:bookmarkStart w:id="163" w:name="Bookmark_I5FNG9JR2SF8T00040000400"/>
      <w:bookmarkEnd w:id="163"/>
      <w:hyperlink r:id="rId61"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Aggrenox is a brand-name prescription medication consisting of a particular combination of dipyridamole and aspirin. </w:t>
      </w:r>
      <w:r>
        <w:rPr>
          <w:rFonts w:ascii="arial" w:eastAsia="arial" w:hAnsi="arial" w:cs="arial"/>
          <w:b w:val="0"/>
          <w:i w:val="0"/>
          <w:strike w:val="0"/>
          <w:noProof w:val="0"/>
          <w:color w:val="000000"/>
          <w:position w:val="0"/>
          <w:sz w:val="20"/>
          <w:u w:val="none"/>
          <w:vertAlign w:val="baseline"/>
        </w:rPr>
        <w:t>In January 2000, Boehringer obtained U.S. Patent No. 6,015,577 on the composition ("the '577 patent"), after having obtained FDA approval in November 1999 for its use to lower the risk of stroke in patients who have already had a stroke or transient ischemic attack. Boehringer listed the patent with the FDA and brought Aggrenox to market, where it has been a commercial success.</w:t>
      </w:r>
    </w:p>
    <w:p>
      <w:pPr>
        <w:keepNext w:val="0"/>
        <w:widowControl w:val="0"/>
        <w:spacing w:before="200" w:after="0" w:line="260" w:lineRule="atLeast"/>
        <w:ind w:left="0" w:right="0" w:firstLine="0"/>
        <w:jc w:val="both"/>
      </w:pPr>
      <w:bookmarkStart w:id="164" w:name="Bookmark_para_18"/>
      <w:bookmarkEnd w:id="164"/>
      <w:r>
        <w:rPr>
          <w:rFonts w:ascii="arial" w:eastAsia="arial" w:hAnsi="arial" w:cs="arial"/>
          <w:b w:val="0"/>
          <w:i w:val="0"/>
          <w:strike w:val="0"/>
          <w:noProof w:val="0"/>
          <w:color w:val="000000"/>
          <w:position w:val="0"/>
          <w:sz w:val="20"/>
          <w:u w:val="none"/>
          <w:vertAlign w:val="baseline"/>
        </w:rPr>
        <w:t>In January 2007—ten years before patent '577 is set to expire—Barr filed an Abbreviated New Drug Application seeking approval to market a generic equivalent of Aggrenox, with Paragraph IV certification challenging the '577 patent. Boehringer brought suit in the District of Delaware. At the same time, Barr also intended to introduce a generic of another Boehringer product, Mirapex, and separate litigation on that issue was pending in the District of Delaware. In August 2008, Boehringer and Barr settled all patent litigation between them, with respect to both Aggrenox and Mirapex. They contemporaneously entered a settlement agreement, an Aggrenox license, a Mirapex license, and a Co-Promotion Agreement. Among other things, Barr agreed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drop its patent challenge and not market generic Aggrenox until July 2015 (eighteen months prior to the expiration of the patent), and that Duramed (a Barr subsidiary) would use its specialized sales force to educate obstetricians and gynecologists about Aggrenox. Barr would be compensated based on several factors, including net sales of Aggrenox, regardless of whether its co-promotion generated any additional sales (the FTC estimated that the deal would cost Boehringer over $120 million in royalties). The agreements were announced publicly in a press release. The FTC commenced an inquiry in January 2009, which is apparently ongoing.</w:t>
      </w:r>
    </w:p>
    <w:p>
      <w:pPr>
        <w:keepNext w:val="0"/>
        <w:widowControl w:val="0"/>
        <w:spacing w:before="200" w:after="0" w:line="260" w:lineRule="atLeast"/>
        <w:ind w:left="0" w:right="0" w:firstLine="0"/>
        <w:jc w:val="both"/>
      </w:pPr>
      <w:bookmarkStart w:id="165" w:name="Bookmark_para_19"/>
      <w:bookmarkEnd w:id="165"/>
      <w:r>
        <w:rPr>
          <w:rFonts w:ascii="arial" w:eastAsia="arial" w:hAnsi="arial" w:cs="arial"/>
          <w:b w:val="0"/>
          <w:i w:val="0"/>
          <w:strike w:val="0"/>
          <w:noProof w:val="0"/>
          <w:color w:val="000000"/>
          <w:position w:val="0"/>
          <w:sz w:val="20"/>
          <w:u w:val="none"/>
          <w:vertAlign w:val="baseline"/>
        </w:rPr>
        <w:t xml:space="preserve">In August 2009, at least some of the same parties and lawyers in the present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litigation brought suit against Boehringer in the Western District of Pennsylvania, alleging that the 2008 settlement was intended to delay entry of generic Mirapex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 Federal Circuit upheld the validity of the Mirapex patent, the plaintiffs in that case dropped their suit. In 2013, the various suits consolidated here began to be filed, now alleging that the 2008 settlement was intended to delay entry of generic Aggrenox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Statute of Limitations</w:t>
      </w:r>
    </w:p>
    <w:p>
      <w:pPr>
        <w:keepNext w:val="0"/>
        <w:widowControl w:val="0"/>
        <w:spacing w:before="240" w:after="0" w:line="260" w:lineRule="atLeast"/>
        <w:ind w:left="0" w:right="0" w:firstLine="0"/>
        <w:jc w:val="both"/>
      </w:pPr>
      <w:bookmarkStart w:id="166" w:name="Bookmark_para_20"/>
      <w:bookmarkEnd w:id="166"/>
      <w:bookmarkStart w:id="167" w:name="Bookmark_I5FNG9JR2HM5SC0020000400"/>
      <w:bookmarkEnd w:id="167"/>
      <w:r>
        <w:rPr>
          <w:rFonts w:ascii="arial" w:eastAsia="arial" w:hAnsi="arial" w:cs="arial"/>
          <w:b w:val="0"/>
          <w:i w:val="0"/>
          <w:strike w:val="0"/>
          <w:noProof w:val="0"/>
          <w:color w:val="000000"/>
          <w:position w:val="0"/>
          <w:sz w:val="20"/>
          <w:u w:val="none"/>
          <w:vertAlign w:val="baseline"/>
        </w:rPr>
        <w:t xml:space="preserve">The defendants argue in all of their motions to dismiss (most extensively in their motion to dismiss the direct-purchaser complaint, and that discussion is incorporated by reference in the other motions) that the 2013 claims are time-barred. There is no dispute that </w:t>
      </w:r>
      <w:bookmarkStart w:id="168" w:name="Bookmark_LNHNREFclscc4"/>
      <w:bookmarkEnd w:id="168"/>
      <w:hyperlink r:id="rId7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statute of limitations for Sherman Act claims is four years from when "the cause of action accrued," </w:t>
      </w:r>
      <w:hyperlink r:id="rId18"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generally accrues "when a defendant </w:t>
      </w:r>
      <w:r>
        <w:rPr>
          <w:rFonts w:ascii="arial" w:eastAsia="arial" w:hAnsi="arial" w:cs="arial"/>
          <w:b w:val="0"/>
          <w:i/>
          <w:strike w:val="0"/>
          <w:noProof w:val="0"/>
          <w:color w:val="000000"/>
          <w:position w:val="0"/>
          <w:sz w:val="20"/>
          <w:u w:val="none"/>
          <w:vertAlign w:val="baseline"/>
        </w:rPr>
        <w:t>commits</w:t>
      </w:r>
      <w:r>
        <w:rPr>
          <w:rFonts w:ascii="arial" w:eastAsia="arial" w:hAnsi="arial" w:cs="arial"/>
          <w:b w:val="0"/>
          <w:i w:val="0"/>
          <w:strike w:val="0"/>
          <w:noProof w:val="0"/>
          <w:color w:val="000000"/>
          <w:position w:val="0"/>
          <w:sz w:val="20"/>
          <w:u w:val="none"/>
          <w:vertAlign w:val="baseline"/>
        </w:rPr>
        <w:t xml:space="preserve"> an act that </w:t>
      </w:r>
      <w:r>
        <w:rPr>
          <w:rFonts w:ascii="arial" w:eastAsia="arial" w:hAnsi="arial" w:cs="arial"/>
          <w:b w:val="0"/>
          <w:i/>
          <w:strike w:val="0"/>
          <w:noProof w:val="0"/>
          <w:color w:val="000000"/>
          <w:position w:val="0"/>
          <w:sz w:val="20"/>
          <w:u w:val="none"/>
          <w:vertAlign w:val="baseline"/>
        </w:rPr>
        <w:t>injures</w:t>
      </w:r>
      <w:r>
        <w:rPr>
          <w:rFonts w:ascii="arial" w:eastAsia="arial" w:hAnsi="arial" w:cs="arial"/>
          <w:b w:val="0"/>
          <w:i w:val="0"/>
          <w:strike w:val="0"/>
          <w:noProof w:val="0"/>
          <w:color w:val="000000"/>
          <w:position w:val="0"/>
          <w:sz w:val="20"/>
          <w:u w:val="none"/>
          <w:vertAlign w:val="baseline"/>
        </w:rPr>
        <w:t xml:space="preserve"> a plaintiff's business," </w:t>
      </w:r>
      <w:bookmarkStart w:id="169" w:name="Bookmark_I5FNG9JR2HM5SC0010000400"/>
      <w:bookmarkEnd w:id="169"/>
      <w:hyperlink r:id="rId78"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78"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(emphasis added), but the parties differently emphasize the commission of the act itself and the consummation of the act in an injury, taking different positions on the applicability of </w:t>
      </w:r>
      <w:bookmarkStart w:id="170" w:name="Bookmark_I5FNG9JR2HM5SC0030000400"/>
      <w:bookmarkEnd w:id="170"/>
      <w:hyperlink r:id="rId79" w:history="1">
        <w:r>
          <w:rPr>
            <w:rFonts w:ascii="arial" w:eastAsia="arial" w:hAnsi="arial" w:cs="arial"/>
            <w:b w:val="0"/>
            <w:i/>
            <w:strike w:val="0"/>
            <w:noProof w:val="0"/>
            <w:color w:val="0077CC"/>
            <w:position w:val="0"/>
            <w:sz w:val="20"/>
            <w:u w:val="single"/>
            <w:vertAlign w:val="baseline"/>
          </w:rPr>
          <w:t>Berkey Photo, Inc. v. Eastman Kodak Co</w:t>
        </w:r>
      </w:hyperlink>
      <w:hyperlink r:id="rId79" w:history="1">
        <w:r>
          <w:rPr>
            <w:rFonts w:ascii="arial" w:eastAsia="arial" w:hAnsi="arial" w:cs="arial"/>
            <w:b w:val="0"/>
            <w:i/>
            <w:strike w:val="0"/>
            <w:noProof w:val="0"/>
            <w:color w:val="0077CC"/>
            <w:position w:val="0"/>
            <w:sz w:val="20"/>
            <w:u w:val="single"/>
            <w:vertAlign w:val="baseline"/>
          </w:rPr>
          <w:t>., 603 F.2d 263 (2d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21"/>
      <w:bookmarkEnd w:id="171"/>
      <w:r>
        <w:rPr>
          <w:rFonts w:ascii="arial" w:eastAsia="arial" w:hAnsi="arial" w:cs="arial"/>
          <w:b w:val="0"/>
          <w:i w:val="0"/>
          <w:strike w:val="0"/>
          <w:noProof w:val="0"/>
          <w:color w:val="000000"/>
          <w:position w:val="0"/>
          <w:sz w:val="20"/>
          <w:u w:val="none"/>
          <w:vertAlign w:val="baseline"/>
        </w:rPr>
        <w:t>The defendants offer two possibilities: the claims accrued in August 2008, when the Aggrenox settlement was reached and publicly announced; or in August 2009, when the FDA approved Barr's Abbreviated New Drug Application for a generic equivalent to Aggrenox. If the defendants committed some discrete anticompetitive act, then surely—as the complaints allege—it was the 2008 agreement. If injury was only speculative at that date, because Barr did not yet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have approval to begin production of the generic, then surely it would become real in August 2009 when that approval was obtained. Both dates put the November 2013 filing of the first direct-purchaser complaint outside of the four-year window. The defendants also argue that the end of the automatic 30-month stay of FDA approval of a generic that was triggered by the filing of Boehringer's infringement suit—though falling just within four years of the filing of the first complaint—should not be taken as the accrual date. They argue that under the plaintiffs' theory of the case (at least as the defendants understand it), the invalidity of Boehringer's patent would have been determined in court (and the avoidance of this inevitability was the motivation for the settlement), and thus the stay would have ended prior to the 30-month period. The plaintiffs cannot be permitted, the defendants insist, to argue for an earlier date when arguing that the settlement caused the specific harm of delayed entry of a generic, but to argue for a later date for purposes of the statute of limitations.</w:t>
      </w:r>
    </w:p>
    <w:p>
      <w:pPr>
        <w:keepNext w:val="0"/>
        <w:widowControl w:val="0"/>
        <w:spacing w:before="240" w:after="0" w:line="260" w:lineRule="atLeast"/>
        <w:ind w:left="0" w:right="0" w:firstLine="0"/>
        <w:jc w:val="both"/>
      </w:pPr>
      <w:bookmarkStart w:id="172" w:name="Bookmark_para_22"/>
      <w:bookmarkEnd w:id="172"/>
      <w:r>
        <w:rPr>
          <w:rFonts w:ascii="arial" w:eastAsia="arial" w:hAnsi="arial" w:cs="arial"/>
          <w:b w:val="0"/>
          <w:i w:val="0"/>
          <w:strike w:val="0"/>
          <w:noProof w:val="0"/>
          <w:color w:val="000000"/>
          <w:position w:val="0"/>
          <w:sz w:val="20"/>
          <w:u w:val="none"/>
          <w:vertAlign w:val="baseline"/>
        </w:rPr>
        <w:t xml:space="preserve">The plaintiffs, however, believe the defendants are attempting to dodge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which distinguishes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injured rivals from injured purchasers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bookmarkStart w:id="173" w:name="Bookmark_I4969FYD8T0000HF4VM0003K"/>
      <w:bookmarkEnd w:id="173"/>
      <w:bookmarkStart w:id="174" w:name="Bookmark_I5FNG9JS28T3TP0010000400"/>
      <w:bookmarkEnd w:id="174"/>
      <w:r>
        <w:rPr>
          <w:rFonts w:ascii="arial" w:eastAsia="arial" w:hAnsi="arial" w:cs="arial"/>
          <w:b w:val="0"/>
          <w:i w:val="0"/>
          <w:strike w:val="0"/>
          <w:noProof w:val="0"/>
          <w:color w:val="000000"/>
          <w:position w:val="0"/>
          <w:sz w:val="20"/>
          <w:u w:val="none"/>
          <w:vertAlign w:val="baseline"/>
        </w:rPr>
        <w:t>"Although the business of a monopolist's rival may be injured at the time the anticompetitive conduct occurs," the Second Circuit reasoned, "a purchaser, by contrast, is not harmed until the monopolist actually exercises its illicit power to extract an excessive price. . . . So long as a monopolist continues to use the power it has gained illicitly to overcharge its customers, it has no claim on the repose that a statute of limitations is intended to provide. . . . The purchaser's cause of action, therefore, accrues only on the date damages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are suffered . . . ." </w:t>
      </w:r>
      <w:bookmarkStart w:id="175" w:name="Bookmark_I5FNG9JR2HM5SC0050000400"/>
      <w:bookmarkEnd w:id="175"/>
      <w:hyperlink r:id="rId79" w:history="1">
        <w:r>
          <w:rPr>
            <w:rFonts w:ascii="arial" w:eastAsia="arial" w:hAnsi="arial" w:cs="arial"/>
            <w:b w:val="0"/>
            <w:i/>
            <w:strike w:val="0"/>
            <w:noProof w:val="0"/>
            <w:color w:val="0077CC"/>
            <w:position w:val="0"/>
            <w:sz w:val="20"/>
            <w:u w:val="single"/>
            <w:vertAlign w:val="baseline"/>
          </w:rPr>
          <w:t>603 F.2d at 295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76" w:name="Bookmark_para_23"/>
      <w:bookmarkEnd w:id="176"/>
      <w:r>
        <w:rPr>
          <w:rFonts w:ascii="arial" w:eastAsia="arial" w:hAnsi="arial" w:cs="arial"/>
          <w:b w:val="0"/>
          <w:i w:val="0"/>
          <w:strike w:val="0"/>
          <w:noProof w:val="0"/>
          <w:color w:val="000000"/>
          <w:position w:val="0"/>
          <w:sz w:val="20"/>
          <w:u w:val="none"/>
          <w:vertAlign w:val="baseline"/>
        </w:rPr>
        <w:t xml:space="preserve">The defendants argue that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does not apply, because its analysis relied on circumstances in which plaintiffs might not yet have reason to believe they were injured within the limitations period. </w:t>
      </w:r>
      <w:bookmarkStart w:id="177" w:name="Bookmark_I4969FYDDM4000HF4VM0003M"/>
      <w:bookmarkEnd w:id="177"/>
      <w:bookmarkStart w:id="178" w:name="Bookmark_I5FNG9JS28T3TP0030000400"/>
      <w:bookmarkEnd w:id="178"/>
      <w:r>
        <w:rPr>
          <w:rFonts w:ascii="arial" w:eastAsia="arial" w:hAnsi="arial" w:cs="arial"/>
          <w:b w:val="0"/>
          <w:i w:val="0"/>
          <w:strike w:val="0"/>
          <w:noProof w:val="0"/>
          <w:color w:val="000000"/>
          <w:position w:val="0"/>
          <w:sz w:val="20"/>
          <w:u w:val="none"/>
          <w:vertAlign w:val="baseline"/>
        </w:rPr>
        <w:t xml:space="preserve">The case as they see it therefore stands for a narrow "speculative damages" exception, and more expansive language is mere dicta. Moreover, the defendants insist, this case and others that the plaintiffs cite rely on </w:t>
      </w: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 xml:space="preserve"> instances of discrete anticompetitive conduct within the limitations period, not merely carrying out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terms of an earlier agreement. </w:t>
      </w:r>
      <w:bookmarkStart w:id="179" w:name="Bookmark_I4969FYDJF8000HF4VM0003N"/>
      <w:bookmarkEnd w:id="179"/>
      <w:bookmarkStart w:id="180" w:name="Bookmark_I4969FYDV3J000HF4VM0003R"/>
      <w:bookmarkEnd w:id="180"/>
      <w:bookmarkStart w:id="181" w:name="Bookmark_I4969FYF2G4000HF4VM0003T"/>
      <w:bookmarkEnd w:id="181"/>
      <w:bookmarkStart w:id="182" w:name="Bookmark_I4969FYFB4D000HF4VM0003W"/>
      <w:bookmarkEnd w:id="182"/>
      <w:bookmarkStart w:id="183" w:name="Bookmark_I5FNG9JS28T3TP0050000400"/>
      <w:bookmarkEnd w:id="183"/>
      <w:r>
        <w:rPr>
          <w:rFonts w:ascii="arial" w:eastAsia="arial" w:hAnsi="arial" w:cs="arial"/>
          <w:b w:val="0"/>
          <w:i w:val="0"/>
          <w:strike w:val="0"/>
          <w:noProof w:val="0"/>
          <w:color w:val="000000"/>
          <w:position w:val="0"/>
          <w:sz w:val="20"/>
          <w:u w:val="none"/>
          <w:vertAlign w:val="baseline"/>
        </w:rPr>
        <w:t xml:space="preserve">They argue that the Second Circuit has distinguished between the new and independent acts needed to maintain a conspiracy and inertial consequences flowing from a discrete act. The defendants rely most heavily on </w:t>
      </w:r>
      <w:bookmarkStart w:id="184" w:name="Bookmark_I5FNG9JS28T3TP0020000400"/>
      <w:bookmarkEnd w:id="184"/>
      <w:hyperlink r:id="rId80" w:history="1">
        <w:r>
          <w:rPr>
            <w:rFonts w:ascii="arial" w:eastAsia="arial" w:hAnsi="arial" w:cs="arial"/>
            <w:b w:val="0"/>
            <w:i/>
            <w:strike w:val="0"/>
            <w:noProof w:val="0"/>
            <w:color w:val="0077CC"/>
            <w:position w:val="0"/>
            <w:sz w:val="20"/>
            <w:u w:val="single"/>
            <w:vertAlign w:val="baseline"/>
          </w:rPr>
          <w:t>United States v. Grimm</w:t>
        </w:r>
      </w:hyperlink>
      <w:hyperlink r:id="rId80" w:history="1">
        <w:r>
          <w:rPr>
            <w:rFonts w:ascii="arial" w:eastAsia="arial" w:hAnsi="arial" w:cs="arial"/>
            <w:b w:val="0"/>
            <w:i/>
            <w:strike w:val="0"/>
            <w:noProof w:val="0"/>
            <w:color w:val="0077CC"/>
            <w:position w:val="0"/>
            <w:sz w:val="20"/>
            <w:u w:val="single"/>
            <w:vertAlign w:val="baseline"/>
          </w:rPr>
          <w:t>, 738 F.3d 498 (2d Cir. 2013)</w:t>
        </w:r>
      </w:hyperlink>
      <w:r>
        <w:rPr>
          <w:rFonts w:ascii="arial" w:eastAsia="arial" w:hAnsi="arial" w:cs="arial"/>
          <w:b w:val="0"/>
          <w:i w:val="0"/>
          <w:strike w:val="0"/>
          <w:noProof w:val="0"/>
          <w:color w:val="000000"/>
          <w:position w:val="0"/>
          <w:sz w:val="20"/>
          <w:u w:val="none"/>
          <w:vertAlign w:val="baseline"/>
        </w:rPr>
        <w:t xml:space="preserve">, a criminal case dismissing a conspiracy-to-commit-wire-fraud indictment on grounds of a lapsed limitations period. </w:t>
      </w:r>
      <w:bookmarkStart w:id="185" w:name="Bookmark_I5FNG9JS28T3TP0050000400_2"/>
      <w:bookmarkEnd w:id="185"/>
      <w:r>
        <w:rPr>
          <w:rFonts w:ascii="arial" w:eastAsia="arial" w:hAnsi="arial" w:cs="arial"/>
          <w:b w:val="0"/>
          <w:i w:val="0"/>
          <w:strike w:val="0"/>
          <w:noProof w:val="0"/>
          <w:color w:val="000000"/>
          <w:position w:val="0"/>
          <w:sz w:val="20"/>
          <w:u w:val="none"/>
          <w:vertAlign w:val="baseline"/>
        </w:rPr>
        <w:t xml:space="preserve">The defendants also cite various other cases in addition to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for the proposition that courts in the Second Circuit very strongly disfavor the "continuing violation" doctrine, and for the narrowness of the exception that the doctrine purportedly represents. </w:t>
      </w:r>
      <w:bookmarkStart w:id="186" w:name="Bookmark_I4969FYR9BD000HF4VM00062"/>
      <w:bookmarkEnd w:id="186"/>
      <w:bookmarkStart w:id="187" w:name="Bookmark_I5FNG9JS2SF8TG0030000400"/>
      <w:bookmarkEnd w:id="187"/>
      <w:r>
        <w:rPr>
          <w:rFonts w:ascii="arial" w:eastAsia="arial" w:hAnsi="arial" w:cs="arial"/>
          <w:b w:val="0"/>
          <w:i/>
          <w:strike w:val="0"/>
          <w:noProof w:val="0"/>
          <w:color w:val="000000"/>
          <w:position w:val="0"/>
          <w:sz w:val="20"/>
          <w:u w:val="none"/>
          <w:vertAlign w:val="baseline"/>
        </w:rPr>
        <w:t xml:space="preserve">See, e.g., </w:t>
      </w:r>
      <w:bookmarkStart w:id="188" w:name="Bookmark_I5FNG9JS28T3TP0040000400"/>
      <w:bookmarkEnd w:id="188"/>
      <w:hyperlink r:id="rId81" w:history="1">
        <w:r>
          <w:rPr>
            <w:rFonts w:ascii="arial" w:eastAsia="arial" w:hAnsi="arial" w:cs="arial"/>
            <w:b w:val="0"/>
            <w:i/>
            <w:strike w:val="0"/>
            <w:noProof w:val="0"/>
            <w:color w:val="0077CC"/>
            <w:position w:val="0"/>
            <w:sz w:val="20"/>
            <w:u w:val="single"/>
            <w:vertAlign w:val="baseline"/>
          </w:rPr>
          <w:t>Pressley v. City of N.Y</w:t>
        </w:r>
      </w:hyperlink>
      <w:hyperlink r:id="rId81" w:history="1">
        <w:r>
          <w:rPr>
            <w:rFonts w:ascii="arial" w:eastAsia="arial" w:hAnsi="arial" w:cs="arial"/>
            <w:b w:val="0"/>
            <w:i/>
            <w:strike w:val="0"/>
            <w:noProof w:val="0"/>
            <w:color w:val="0077CC"/>
            <w:position w:val="0"/>
            <w:sz w:val="20"/>
            <w:u w:val="single"/>
            <w:vertAlign w:val="baseline"/>
          </w:rPr>
          <w:t>., 2013 U.S. Dist. LEXIS 5374, 2013 WL 145747 (E.D.N.Y. Jan. 14, 2013)</w:t>
        </w:r>
      </w:hyperlink>
      <w:r>
        <w:rPr>
          <w:rFonts w:ascii="arial" w:eastAsia="arial" w:hAnsi="arial" w:cs="arial"/>
          <w:b w:val="0"/>
          <w:i w:val="0"/>
          <w:strike w:val="0"/>
          <w:noProof w:val="0"/>
          <w:color w:val="000000"/>
          <w:position w:val="0"/>
          <w:sz w:val="20"/>
          <w:u w:val="none"/>
          <w:vertAlign w:val="baseline"/>
        </w:rPr>
        <w:t xml:space="preserve">; </w:t>
      </w:r>
      <w:bookmarkStart w:id="189" w:name="Bookmark_I5FNG9JS28T3V60010000400"/>
      <w:bookmarkEnd w:id="189"/>
      <w:hyperlink r:id="rId82" w:history="1">
        <w:r>
          <w:rPr>
            <w:rFonts w:ascii="arial" w:eastAsia="arial" w:hAnsi="arial" w:cs="arial"/>
            <w:b w:val="0"/>
            <w:i/>
            <w:strike w:val="0"/>
            <w:noProof w:val="0"/>
            <w:color w:val="0077CC"/>
            <w:position w:val="0"/>
            <w:sz w:val="20"/>
            <w:u w:val="single"/>
            <w:vertAlign w:val="baseline"/>
          </w:rPr>
          <w:t>Trinidad v. N.Y. City Dept. of Corr</w:t>
        </w:r>
      </w:hyperlink>
      <w:hyperlink r:id="rId82" w:history="1">
        <w:r>
          <w:rPr>
            <w:rFonts w:ascii="arial" w:eastAsia="arial" w:hAnsi="arial" w:cs="arial"/>
            <w:b w:val="0"/>
            <w:i/>
            <w:strike w:val="0"/>
            <w:noProof w:val="0"/>
            <w:color w:val="0077CC"/>
            <w:position w:val="0"/>
            <w:sz w:val="20"/>
            <w:u w:val="single"/>
            <w:vertAlign w:val="baseline"/>
          </w:rPr>
          <w:t>., 423 F. Supp. 2d 151 (S.D.N.Y. 2006)</w:t>
        </w:r>
      </w:hyperlink>
      <w:r>
        <w:rPr>
          <w:rFonts w:ascii="arial" w:eastAsia="arial" w:hAnsi="arial" w:cs="arial"/>
          <w:b w:val="0"/>
          <w:i w:val="0"/>
          <w:strike w:val="0"/>
          <w:noProof w:val="0"/>
          <w:color w:val="000000"/>
          <w:position w:val="0"/>
          <w:sz w:val="20"/>
          <w:u w:val="none"/>
          <w:vertAlign w:val="baseline"/>
        </w:rPr>
        <w:t xml:space="preserve">; </w:t>
      </w:r>
      <w:bookmarkStart w:id="190" w:name="Bookmark_I5FNG9JS28T3V60030000400"/>
      <w:bookmarkEnd w:id="190"/>
      <w:hyperlink r:id="rId83"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261 F. Supp. 2d 188 (E.D.N.Y. 2003)</w:t>
        </w:r>
      </w:hyperlink>
      <w:r>
        <w:rPr>
          <w:rFonts w:ascii="arial" w:eastAsia="arial" w:hAnsi="arial" w:cs="arial"/>
          <w:b w:val="0"/>
          <w:i w:val="0"/>
          <w:strike w:val="0"/>
          <w:noProof w:val="0"/>
          <w:color w:val="000000"/>
          <w:position w:val="0"/>
          <w:sz w:val="20"/>
          <w:u w:val="none"/>
          <w:vertAlign w:val="baseline"/>
        </w:rPr>
        <w:t xml:space="preserve">; </w:t>
      </w:r>
      <w:bookmarkStart w:id="191" w:name="Bookmark_I5FNG9JS28T3V60050000400"/>
      <w:bookmarkEnd w:id="191"/>
      <w:hyperlink r:id="rId84" w:history="1">
        <w:r>
          <w:rPr>
            <w:rFonts w:ascii="arial" w:eastAsia="arial" w:hAnsi="arial" w:cs="arial"/>
            <w:b w:val="0"/>
            <w:i/>
            <w:strike w:val="0"/>
            <w:noProof w:val="0"/>
            <w:color w:val="0077CC"/>
            <w:position w:val="0"/>
            <w:sz w:val="20"/>
            <w:u w:val="single"/>
            <w:vertAlign w:val="baseline"/>
          </w:rPr>
          <w:t>Schultz v. Texaco Inc</w:t>
        </w:r>
      </w:hyperlink>
      <w:hyperlink r:id="rId84" w:history="1">
        <w:r>
          <w:rPr>
            <w:rFonts w:ascii="arial" w:eastAsia="arial" w:hAnsi="arial" w:cs="arial"/>
            <w:b w:val="0"/>
            <w:i/>
            <w:strike w:val="0"/>
            <w:noProof w:val="0"/>
            <w:color w:val="0077CC"/>
            <w:position w:val="0"/>
            <w:sz w:val="20"/>
            <w:u w:val="single"/>
            <w:vertAlign w:val="baseline"/>
          </w:rPr>
          <w:t>., 127 F. Supp. 2d 443 (S.D.N.Y. 2001)</w:t>
        </w:r>
      </w:hyperlink>
      <w:r>
        <w:rPr>
          <w:rFonts w:ascii="arial" w:eastAsia="arial" w:hAnsi="arial" w:cs="arial"/>
          <w:b w:val="0"/>
          <w:i w:val="0"/>
          <w:strike w:val="0"/>
          <w:noProof w:val="0"/>
          <w:color w:val="000000"/>
          <w:position w:val="0"/>
          <w:sz w:val="20"/>
          <w:u w:val="none"/>
          <w:vertAlign w:val="baseline"/>
        </w:rPr>
        <w:t xml:space="preserve">. </w:t>
      </w:r>
      <w:bookmarkStart w:id="192" w:name="Bookmark_I5FNG9JS2SF8TG0030000400_2"/>
      <w:bookmarkEnd w:id="192"/>
      <w:r>
        <w:rPr>
          <w:rFonts w:ascii="arial" w:eastAsia="arial" w:hAnsi="arial" w:cs="arial"/>
          <w:b w:val="0"/>
          <w:i w:val="0"/>
          <w:strike w:val="0"/>
          <w:noProof w:val="0"/>
          <w:color w:val="000000"/>
          <w:position w:val="0"/>
          <w:sz w:val="20"/>
          <w:u w:val="none"/>
          <w:vertAlign w:val="baseline"/>
        </w:rPr>
        <w:t xml:space="preserve">But the cited decisions are either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or they do not examine the issue pertinent here of purchasers alleging ongoing overcharges. None of them abrogates or otherwise casts doubt on the authority or reasoning of </w:t>
      </w:r>
      <w:bookmarkStart w:id="193" w:name="Bookmark_I5FNG9JS2SF8TG0020000400"/>
      <w:bookmarkEnd w:id="193"/>
      <w:hyperlink r:id="rId79" w:history="1">
        <w:r>
          <w:rPr>
            <w:rFonts w:ascii="arial" w:eastAsia="arial" w:hAnsi="arial" w:cs="arial"/>
            <w:b w:val="0"/>
            <w:i/>
            <w:strike w:val="0"/>
            <w:noProof w:val="0"/>
            <w:color w:val="0077CC"/>
            <w:position w:val="0"/>
            <w:sz w:val="20"/>
            <w:u w:val="single"/>
            <w:vertAlign w:val="baseline"/>
          </w:rPr>
          <w:t>Berkey Photo</w:t>
        </w:r>
      </w:hyperlink>
      <w:r>
        <w:rPr>
          <w:rFonts w:ascii="arial" w:eastAsia="arial" w:hAnsi="arial" w:cs="arial"/>
          <w:b w:val="0"/>
          <w:i w:val="0"/>
          <w:strike w:val="0"/>
          <w:noProof w:val="0"/>
          <w:color w:val="000000"/>
          <w:position w:val="0"/>
          <w:sz w:val="20"/>
          <w:u w:val="none"/>
          <w:vertAlign w:val="baseline"/>
        </w:rPr>
        <w:t xml:space="preserve">, and none of them so squarely meets the allegations in this case as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does.</w:t>
      </w:r>
    </w:p>
    <w:p>
      <w:pPr>
        <w:keepNext w:val="0"/>
        <w:widowControl w:val="0"/>
        <w:spacing w:before="200" w:after="0" w:line="260" w:lineRule="atLeast"/>
        <w:ind w:left="0" w:right="0" w:firstLine="0"/>
        <w:jc w:val="both"/>
      </w:pPr>
      <w:bookmarkStart w:id="194" w:name="Bookmark_para_24"/>
      <w:bookmarkEnd w:id="194"/>
      <w:bookmarkStart w:id="195" w:name="Bookmark_I5FNG9JS2SF8TG0050000400"/>
      <w:bookmarkEnd w:id="195"/>
      <w:r>
        <w:rPr>
          <w:rFonts w:ascii="arial" w:eastAsia="arial" w:hAnsi="arial" w:cs="arial"/>
          <w:b w:val="0"/>
          <w:i w:val="0"/>
          <w:strike w:val="0"/>
          <w:noProof w:val="0"/>
          <w:color w:val="000000"/>
          <w:position w:val="0"/>
          <w:sz w:val="20"/>
          <w:u w:val="none"/>
          <w:vertAlign w:val="baseline"/>
        </w:rPr>
        <w:t xml:space="preserve">The defendants are correct that the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Court discusses speculative damages and the potential of anticompetitive conduct to harm even businesses that do not yet exist at the time of the conduct. It is inaccurate, however,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suggest that the court used any such limiting language in its holding, or that the plaintiffs have misplaced reliance on its dicta. On the contrary, cutting through any dispute about what is and is not mere dictum, the court expressly flags its holding: "We hold, therefore, that </w:t>
      </w:r>
      <w:bookmarkStart w:id="196" w:name="Bookmark_LNHNREFclscc5"/>
      <w:bookmarkEnd w:id="196"/>
      <w:hyperlink r:id="rId8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purchaser suing a monopolist for overcharges paid within the previous four years may satisfy the conduct prerequisite to recovery by pointing to anticompetitive actions taken before the limitations period." </w:t>
      </w:r>
      <w:bookmarkStart w:id="197" w:name="Bookmark_I5FNG9JS2SF8TG0040000400"/>
      <w:bookmarkEnd w:id="197"/>
      <w:hyperlink r:id="rId79" w:history="1">
        <w:r>
          <w:rPr>
            <w:rFonts w:ascii="arial" w:eastAsia="arial" w:hAnsi="arial" w:cs="arial"/>
            <w:b w:val="0"/>
            <w:i/>
            <w:strike w:val="0"/>
            <w:noProof w:val="0"/>
            <w:color w:val="0077CC"/>
            <w:position w:val="0"/>
            <w:sz w:val="20"/>
            <w:u w:val="single"/>
            <w:vertAlign w:val="baseline"/>
          </w:rPr>
          <w:t>603 F.2d at 296</w:t>
        </w:r>
      </w:hyperlink>
      <w:r>
        <w:rPr>
          <w:rFonts w:ascii="arial" w:eastAsia="arial" w:hAnsi="arial" w:cs="arial"/>
          <w:b w:val="0"/>
          <w:i w:val="0"/>
          <w:strike w:val="0"/>
          <w:noProof w:val="0"/>
          <w:color w:val="000000"/>
          <w:position w:val="0"/>
          <w:sz w:val="20"/>
          <w:u w:val="none"/>
          <w:vertAlign w:val="baseline"/>
        </w:rPr>
        <w:t xml:space="preserve">. That is precisely the scenario that the plaintiffs allege. They allege, in fact, not just overcharges paid within the previous four years, but overcharges that are ongoing. Even if, as defendants argue, the prerequisite anticompetitive conduct occurred wholly outside of the four-year limitations period, the plaintiffs' claims still fall clearly and squarely under the holding of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25"/>
      <w:bookmarkEnd w:id="198"/>
      <w:bookmarkStart w:id="199" w:name="Bookmark_I4969FYFKSP000HF4VM0003Y"/>
      <w:bookmarkEnd w:id="199"/>
      <w:bookmarkStart w:id="200" w:name="Bookmark_I4969FYFRKV000HF4VM00040"/>
      <w:bookmarkEnd w:id="200"/>
      <w:bookmarkStart w:id="201" w:name="Bookmark_I4969FYN6NJ000HF4VM0005G"/>
      <w:bookmarkEnd w:id="201"/>
      <w:bookmarkStart w:id="202" w:name="Bookmark_I4969FYNBGP000HF4VM0005H"/>
      <w:bookmarkEnd w:id="202"/>
      <w:bookmarkStart w:id="203" w:name="Bookmark_I5FNG9K22N1R280020000400"/>
      <w:bookmarkEnd w:id="203"/>
      <w:r>
        <w:rPr>
          <w:rFonts w:ascii="arial" w:eastAsia="arial" w:hAnsi="arial" w:cs="arial"/>
          <w:b w:val="0"/>
          <w:i w:val="0"/>
          <w:strike w:val="0"/>
          <w:noProof w:val="0"/>
          <w:color w:val="000000"/>
          <w:position w:val="0"/>
          <w:sz w:val="20"/>
          <w:u w:val="none"/>
          <w:vertAlign w:val="baseline"/>
        </w:rPr>
        <w:t xml:space="preserve">Courts in other districts and circuits have used the same reasoning applied in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—a purchaser suing a monopolist for overcharges is injured anew by each overcharge—and have come to the same result. </w:t>
      </w:r>
      <w:r>
        <w:rPr>
          <w:rFonts w:ascii="arial" w:eastAsia="arial" w:hAnsi="arial" w:cs="arial"/>
          <w:b w:val="0"/>
          <w:i/>
          <w:strike w:val="0"/>
          <w:noProof w:val="0"/>
          <w:color w:val="000000"/>
          <w:position w:val="0"/>
          <w:sz w:val="20"/>
          <w:u w:val="none"/>
          <w:vertAlign w:val="baseline"/>
        </w:rPr>
        <w:t xml:space="preserve">See, e.g., </w:t>
      </w:r>
      <w:bookmarkStart w:id="204" w:name="Bookmark_I5FNG9K22N1R280010000400"/>
      <w:bookmarkEnd w:id="204"/>
      <w:hyperlink r:id="rId72" w:history="1">
        <w:r>
          <w:rPr>
            <w:rFonts w:ascii="arial" w:eastAsia="arial" w:hAnsi="arial" w:cs="arial"/>
            <w:b w:val="0"/>
            <w:i/>
            <w:strike w:val="0"/>
            <w:noProof w:val="0"/>
            <w:color w:val="0077CC"/>
            <w:position w:val="0"/>
            <w:sz w:val="20"/>
            <w:u w:val="single"/>
            <w:vertAlign w:val="baseline"/>
          </w:rPr>
          <w:t xml:space="preserve">In re Niaspan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42 F. Supp. 3d 735, 2014 WL 4403848, at *7 (E.D. Pa. Sept. 5, 2014)</w:t>
        </w:r>
      </w:hyperlink>
      <w:r>
        <w:rPr>
          <w:rFonts w:ascii="arial" w:eastAsia="arial" w:hAnsi="arial" w:cs="arial"/>
          <w:b w:val="0"/>
          <w:i w:val="0"/>
          <w:strike w:val="0"/>
          <w:noProof w:val="0"/>
          <w:color w:val="000000"/>
          <w:position w:val="0"/>
          <w:sz w:val="20"/>
          <w:u w:val="none"/>
          <w:vertAlign w:val="baseline"/>
        </w:rPr>
        <w:t xml:space="preserve"> ("Every court to have considered this issue in the pay-for-delay context has held that a new</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cause of action accrues to purchasers upon each overpriced sale of the drug.") (</w:t>
      </w:r>
      <w:r>
        <w:rPr>
          <w:rFonts w:ascii="arial" w:eastAsia="arial" w:hAnsi="arial" w:cs="arial"/>
          <w:b w:val="0"/>
          <w:i/>
          <w:strike w:val="0"/>
          <w:noProof w:val="0"/>
          <w:color w:val="000000"/>
          <w:position w:val="0"/>
          <w:sz w:val="20"/>
          <w:u w:val="none"/>
          <w:vertAlign w:val="baseline"/>
        </w:rPr>
        <w:t xml:space="preserve">citing </w:t>
      </w:r>
      <w:bookmarkStart w:id="205" w:name="Bookmark_I5FNG9K22N1R280030000400"/>
      <w:bookmarkEnd w:id="205"/>
      <w:hyperlink r:id="rId86" w:history="1">
        <w:r>
          <w:rPr>
            <w:rFonts w:ascii="arial" w:eastAsia="arial" w:hAnsi="arial" w:cs="arial"/>
            <w:b w:val="0"/>
            <w:i/>
            <w:strike w:val="0"/>
            <w:noProof w:val="0"/>
            <w:color w:val="0077CC"/>
            <w:position w:val="0"/>
            <w:sz w:val="20"/>
            <w:u w:val="single"/>
            <w:vertAlign w:val="baseline"/>
          </w:rPr>
          <w:t xml:space="preserve">In re K-Dur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338 F. Supp. 2d 517, 549 (D.N.J. 2004)</w:t>
        </w:r>
      </w:hyperlink>
      <w:r>
        <w:rPr>
          <w:rFonts w:ascii="arial" w:eastAsia="arial" w:hAnsi="arial" w:cs="arial"/>
          <w:b w:val="0"/>
          <w:i w:val="0"/>
          <w:strike w:val="0"/>
          <w:noProof w:val="0"/>
          <w:color w:val="000000"/>
          <w:position w:val="0"/>
          <w:sz w:val="20"/>
          <w:u w:val="none"/>
          <w:vertAlign w:val="baseline"/>
        </w:rPr>
        <w:t xml:space="preserve"> ("Plaintiffs' claims are not barred by the statute of limitations to the extent that they bought and overpaid for K—Dur within the applicable time limitations.");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w:t>
      </w:r>
      <w:bookmarkStart w:id="206" w:name="Bookmark_I5FNG9K22N1R280050000400"/>
      <w:bookmarkEnd w:id="206"/>
      <w:hyperlink r:id="rId87" w:history="1">
        <w:r>
          <w:rPr>
            <w:rFonts w:ascii="arial" w:eastAsia="arial" w:hAnsi="arial" w:cs="arial"/>
            <w:b w:val="0"/>
            <w:i/>
            <w:strike w:val="0"/>
            <w:noProof w:val="0"/>
            <w:color w:val="0077CC"/>
            <w:position w:val="0"/>
            <w:sz w:val="20"/>
            <w:u w:val="single"/>
            <w:vertAlign w:val="baseline"/>
          </w:rPr>
          <w:t>In re Buspirone Patent Litig</w:t>
        </w:r>
      </w:hyperlink>
      <w:hyperlink r:id="rId87" w:history="1">
        <w:r>
          <w:rPr>
            <w:rFonts w:ascii="arial" w:eastAsia="arial" w:hAnsi="arial" w:cs="arial"/>
            <w:b w:val="0"/>
            <w:i/>
            <w:strike w:val="0"/>
            <w:noProof w:val="0"/>
            <w:color w:val="0077CC"/>
            <w:position w:val="0"/>
            <w:sz w:val="20"/>
            <w:u w:val="single"/>
            <w:vertAlign w:val="baseline"/>
          </w:rPr>
          <w:t>., 185 F. Supp. 2d 363, 378 (S.D.N.Y. 2002)</w:t>
        </w:r>
      </w:hyperlink>
      <w:r>
        <w:rPr>
          <w:rFonts w:ascii="arial" w:eastAsia="arial" w:hAnsi="arial" w:cs="arial"/>
          <w:b w:val="0"/>
          <w:i w:val="0"/>
          <w:strike w:val="0"/>
          <w:noProof w:val="0"/>
          <w:color w:val="000000"/>
          <w:position w:val="0"/>
          <w:sz w:val="20"/>
          <w:u w:val="none"/>
          <w:vertAlign w:val="baseline"/>
        </w:rPr>
        <w:t xml:space="preserve"> ("[I]f a party commits an initial unlawful act that allows it to maintain market control and overcharge purchasers for a period longer than four years, purchasers maintain a right of action for any overcharges paid within the four years prior to their filings."); </w:t>
      </w:r>
      <w:bookmarkStart w:id="207" w:name="Bookmark_I5FNG9K228T3XK0020000400"/>
      <w:bookmarkEnd w:id="207"/>
      <w:hyperlink r:id="rId88"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No. 12-md-2343, 2013 U.S. Dist. LEXIS 70968, 2013 WL 2181185 (E.D. Tenn. May 20, 2013)</w:t>
        </w:r>
      </w:hyperlink>
      <w:r>
        <w:rPr>
          <w:rFonts w:ascii="arial" w:eastAsia="arial" w:hAnsi="arial" w:cs="arial"/>
          <w:b w:val="0"/>
          <w:i w:val="0"/>
          <w:strike w:val="0"/>
          <w:noProof w:val="0"/>
          <w:color w:val="000000"/>
          <w:position w:val="0"/>
          <w:sz w:val="20"/>
          <w:u w:val="none"/>
          <w:vertAlign w:val="baseline"/>
        </w:rPr>
        <w:t xml:space="preserve"> (holding that the plaintiffs' claims were timely because they were "overcharged for metaxalone well into the limitations period")).</w:t>
      </w:r>
    </w:p>
    <w:p>
      <w:pPr>
        <w:keepNext w:val="0"/>
        <w:widowControl w:val="0"/>
        <w:spacing w:before="200" w:after="0" w:line="260" w:lineRule="atLeast"/>
        <w:ind w:left="0" w:right="0" w:firstLine="0"/>
        <w:jc w:val="both"/>
      </w:pPr>
      <w:bookmarkStart w:id="208" w:name="Bookmark_para_26"/>
      <w:bookmarkEnd w:id="208"/>
      <w:r>
        <w:rPr>
          <w:rFonts w:ascii="arial" w:eastAsia="arial" w:hAnsi="arial" w:cs="arial"/>
          <w:b w:val="0"/>
          <w:i w:val="0"/>
          <w:strike w:val="0"/>
          <w:noProof w:val="0"/>
          <w:color w:val="000000"/>
          <w:position w:val="0"/>
          <w:sz w:val="20"/>
          <w:u w:val="none"/>
          <w:vertAlign w:val="baseline"/>
        </w:rPr>
        <w:t xml:space="preserve">I conclude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timely for all overcharges alleged to have been incurred within the four years preceding the filing of the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 Under Actavis</w:t>
      </w:r>
    </w:p>
    <w:p>
      <w:pPr>
        <w:keepNext w:val="0"/>
        <w:widowControl w:val="0"/>
        <w:spacing w:before="200" w:after="0" w:line="260" w:lineRule="atLeast"/>
        <w:ind w:left="0" w:right="0" w:firstLine="0"/>
        <w:jc w:val="both"/>
      </w:pPr>
      <w:bookmarkStart w:id="209" w:name="Bookmark_para_27"/>
      <w:bookmarkEnd w:id="209"/>
      <w:r>
        <w:rPr>
          <w:rFonts w:ascii="arial" w:eastAsia="arial" w:hAnsi="arial" w:cs="arial"/>
          <w:b w:val="0"/>
          <w:i w:val="0"/>
          <w:strike w:val="0"/>
          <w:noProof w:val="0"/>
          <w:color w:val="000000"/>
          <w:position w:val="0"/>
          <w:sz w:val="20"/>
          <w:u w:val="none"/>
          <w:vertAlign w:val="baseline"/>
        </w:rPr>
        <w:t xml:space="preserve">The defendants argue that the plaintiffs do not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any injury at all is predicated upon the assumption that Barr would have prevailed in its patent challenge, and because the plaintiffs make only the conclusory allegation that the patent was weak.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plaintiffs, they say, simply make no allegation meeting the plausibility standard on a motion to dismiss that the '577 patent would have been found invalid, or that a generic would have been introduced "at-risk," if only the defendants had not entered into the challenged settlement agreement. There is thus no plausible allegation of actual injury, the argument goes, because there is no plausible allegation of actual delay of the entry of a generic. That argument, however logically compelling it might be in isolation, fails to engage seriously with the Supreme Court's reasoning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which poses an insurmountable obstacle to it.</w:t>
      </w:r>
    </w:p>
    <w:p>
      <w:pPr>
        <w:keepNext w:val="0"/>
        <w:widowControl w:val="0"/>
        <w:spacing w:before="240" w:after="0" w:line="260" w:lineRule="atLeast"/>
        <w:ind w:left="0" w:right="0" w:firstLine="0"/>
        <w:jc w:val="both"/>
      </w:pPr>
      <w:bookmarkStart w:id="210" w:name="Bookmark_para_28"/>
      <w:bookmarkEnd w:id="210"/>
      <w:r>
        <w:rPr>
          <w:rFonts w:ascii="arial" w:eastAsia="arial" w:hAnsi="arial" w:cs="arial"/>
          <w:b w:val="0"/>
          <w:i w:val="0"/>
          <w:strike w:val="0"/>
          <w:noProof w:val="0"/>
          <w:color w:val="000000"/>
          <w:position w:val="0"/>
          <w:sz w:val="20"/>
          <w:u w:val="none"/>
          <w:vertAlign w:val="baseline"/>
        </w:rPr>
        <w:t xml:space="preserve">The essential problem with the divergent rules for the treatment of reverse-payment patent-litigation settlements before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that they made (likely unjustifiable) presumptions about the validity of the underlying patents, which was the very issue disputed in the underlying patent litigation. Under the old "scope of the patent" test, which was rejected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any settlement less restrictive than the patent was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11" w:name="Bookmark_I5FNG9K228T3XK0050000400"/>
      <w:bookmarkEnd w:id="211"/>
      <w:r>
        <w:rPr>
          <w:rFonts w:ascii="arial" w:eastAsia="arial" w:hAnsi="arial" w:cs="arial"/>
          <w:b w:val="0"/>
          <w:i w:val="0"/>
          <w:strike w:val="0"/>
          <w:noProof w:val="0"/>
          <w:color w:val="000000"/>
          <w:position w:val="0"/>
          <w:sz w:val="20"/>
          <w:u w:val="none"/>
          <w:vertAlign w:val="baseline"/>
        </w:rPr>
        <w:t xml:space="preserve">But "to refer . . . simply to what the holder of a valid patent could do does not by itself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question," the Court held, because the patent "may or may not be valid, and may or may not be infringed. A </w:t>
      </w:r>
      <w:r>
        <w:rPr>
          <w:rFonts w:ascii="arial" w:eastAsia="arial" w:hAnsi="arial" w:cs="arial"/>
          <w:b w:val="0"/>
          <w:i/>
          <w:strike w:val="0"/>
          <w:noProof w:val="0"/>
          <w:color w:val="000000"/>
          <w:position w:val="0"/>
          <w:sz w:val="20"/>
          <w:u w:val="none"/>
          <w:vertAlign w:val="baseline"/>
        </w:rPr>
        <w:t>valid</w:t>
      </w:r>
      <w:r>
        <w:rPr>
          <w:rFonts w:ascii="arial" w:eastAsia="arial" w:hAnsi="arial" w:cs="arial"/>
          <w:b w:val="0"/>
          <w:i w:val="0"/>
          <w:strike w:val="0"/>
          <w:noProof w:val="0"/>
          <w:color w:val="000000"/>
          <w:position w:val="0"/>
          <w:sz w:val="20"/>
          <w:u w:val="none"/>
          <w:vertAlign w:val="baseline"/>
        </w:rPr>
        <w:t xml:space="preserve"> patent excludes all except its owner from the use of the protected process or product . . . . But an </w:t>
      </w:r>
      <w:r>
        <w:rPr>
          <w:rFonts w:ascii="arial" w:eastAsia="arial" w:hAnsi="arial" w:cs="arial"/>
          <w:b w:val="0"/>
          <w:i/>
          <w:strike w:val="0"/>
          <w:noProof w:val="0"/>
          <w:color w:val="000000"/>
          <w:position w:val="0"/>
          <w:sz w:val="20"/>
          <w:u w:val="none"/>
          <w:vertAlign w:val="baseline"/>
        </w:rPr>
        <w:t>invalidated</w:t>
      </w:r>
      <w:r>
        <w:rPr>
          <w:rFonts w:ascii="arial" w:eastAsia="arial" w:hAnsi="arial" w:cs="arial"/>
          <w:b w:val="0"/>
          <w:i w:val="0"/>
          <w:strike w:val="0"/>
          <w:noProof w:val="0"/>
          <w:color w:val="000000"/>
          <w:position w:val="0"/>
          <w:sz w:val="20"/>
          <w:u w:val="none"/>
          <w:vertAlign w:val="baseline"/>
        </w:rPr>
        <w:t xml:space="preserve"> patent carries with it no such right." </w:t>
      </w:r>
      <w:bookmarkStart w:id="212" w:name="Bookmark_I5FNG9K228T3XK0040000400"/>
      <w:bookmarkEnd w:id="212"/>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2230—31</w:t>
        </w:r>
      </w:hyperlink>
      <w:r>
        <w:rPr>
          <w:rFonts w:ascii="arial" w:eastAsia="arial" w:hAnsi="arial" w:cs="arial"/>
          <w:b w:val="0"/>
          <w:i w:val="0"/>
          <w:strike w:val="0"/>
          <w:noProof w:val="0"/>
          <w:color w:val="000000"/>
          <w:position w:val="0"/>
          <w:sz w:val="20"/>
          <w:u w:val="none"/>
          <w:vertAlign w:val="baseline"/>
        </w:rPr>
        <w:t xml:space="preserve"> (internal quotations and citation omitted). The patent's validity was precisely the disputed issue in the litigation, and the settlement ended that litigation. Taking the patent's exclusionary scope as the baseline does indeed make procompetitive any settlement that reflects any lesser exclusion; but that baseline presumes the validity of the patent. The opposite presumption—taking the invalidity of the patent as the baseline—would make any period of excluded competition that is agreed to in a settlement, no matter how much shorter than the patent's period of exclusion, necessarily anticompetitive. Both presumptions are impermissible.</w:t>
      </w:r>
    </w:p>
    <w:p>
      <w:pPr>
        <w:keepNext w:val="0"/>
        <w:widowControl w:val="0"/>
        <w:spacing w:before="200" w:after="0" w:line="260" w:lineRule="atLeast"/>
        <w:ind w:left="0" w:right="0" w:firstLine="0"/>
        <w:jc w:val="both"/>
      </w:pPr>
      <w:bookmarkStart w:id="213" w:name="Bookmark_para_29"/>
      <w:bookmarkEnd w:id="213"/>
      <w:r>
        <w:rPr>
          <w:rFonts w:ascii="arial" w:eastAsia="arial" w:hAnsi="arial" w:cs="arial"/>
          <w:b w:val="0"/>
          <w:i w:val="0"/>
          <w:strike w:val="0"/>
          <w:noProof w:val="0"/>
          <w:color w:val="000000"/>
          <w:position w:val="0"/>
          <w:sz w:val="20"/>
          <w:u w:val="none"/>
          <w:vertAlign w:val="baseline"/>
        </w:rPr>
        <w:t xml:space="preserve">The defendants, by expecting the plaintiffs to plead with specificity reasons to infer that the '577 patent would ultimately have been invalidated, appear to presume that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favored a rule that required litigating the patent's merits, at least in some abbreviated fashion,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order to determine whether a settlement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would be a logical (however impractical) way to avoid presuming either the patent's validity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or invalidity, but the Supreme Court expressly disclaimed it:</w:t>
      </w:r>
    </w:p>
    <w:p>
      <w:pPr>
        <w:keepNext w:val="0"/>
        <w:widowControl w:val="0"/>
        <w:spacing w:before="200" w:after="0" w:line="260" w:lineRule="atLeast"/>
        <w:ind w:left="400" w:right="0" w:firstLine="0"/>
        <w:jc w:val="both"/>
      </w:pPr>
      <w:bookmarkStart w:id="214" w:name="Bookmark_para_30"/>
      <w:bookmarkEnd w:id="214"/>
      <w:r>
        <w:rPr>
          <w:rFonts w:ascii="arial" w:eastAsia="arial" w:hAnsi="arial" w:cs="arial"/>
          <w:b w:val="0"/>
          <w:i w:val="0"/>
          <w:strike w:val="0"/>
          <w:noProof w:val="0"/>
          <w:color w:val="000000"/>
          <w:position w:val="0"/>
          <w:sz w:val="20"/>
          <w:u w:val="none"/>
          <w:vertAlign w:val="baseline"/>
        </w:rPr>
        <w:t xml:space="preserve">[I]t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 . . . </w:t>
      </w:r>
      <w:bookmarkStart w:id="215" w:name="Bookmark_I5FNG9K228T3XM0020000400"/>
      <w:bookmarkEnd w:id="215"/>
      <w:r>
        <w:rPr>
          <w:rFonts w:ascii="arial" w:eastAsia="arial" w:hAnsi="arial" w:cs="arial"/>
          <w:b w:val="0"/>
          <w:i w:val="0"/>
          <w:strike w:val="0"/>
          <w:noProof w:val="0"/>
          <w:color w:val="000000"/>
          <w:position w:val="0"/>
          <w:sz w:val="20"/>
          <w:u w:val="none"/>
          <w:vertAlign w:val="baseline"/>
        </w:rPr>
        <w:t xml:space="preserve">An unexplained large reverse payment itself would normally suggest that the patentee has serious doubts about the patent's survival. And that fact, in turn, suggests that the payment's objective is to maintain supracompetitive prices to be shared among the patentee and the challenger rather than face what might have been a competitive market—the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w:t>
      </w:r>
    </w:p>
    <w:p>
      <w:pPr>
        <w:keepNext w:val="0"/>
        <w:widowControl w:val="0"/>
        <w:spacing w:before="200" w:after="0" w:line="260" w:lineRule="atLeast"/>
        <w:ind w:left="0" w:right="0" w:firstLine="0"/>
        <w:jc w:val="both"/>
      </w:pPr>
      <w:bookmarkStart w:id="216" w:name="Bookmark_I5FNG9K228T3XM0020000400_2"/>
      <w:bookmarkEnd w:id="216"/>
      <w:bookmarkStart w:id="217" w:name="Bookmark_I5FNG9K228T3XM0010000400"/>
      <w:bookmarkEnd w:id="217"/>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at 2236</w:t>
        </w:r>
      </w:hyperlink>
      <w:r>
        <w:rPr>
          <w:rFonts w:ascii="arial" w:eastAsia="arial" w:hAnsi="arial" w:cs="arial"/>
          <w:b w:val="0"/>
          <w:i w:val="0"/>
          <w:strike w:val="0"/>
          <w:noProof w:val="0"/>
          <w:color w:val="000000"/>
          <w:position w:val="0"/>
          <w:sz w:val="20"/>
          <w:u w:val="none"/>
          <w:vertAlign w:val="baseline"/>
        </w:rPr>
        <w:t>. The "unexplained large reverse payment" serves as a proxy for the weakness of the patent, which thus need not be proved (or pleaded) directly. Moreover, the Court identified the pertinent "anticompetitive consequence," which does not appear to depend on the conclusive invalidity of the patent. The antecedent of the appositive clause identifying the anticompetitive consequence contains a telling subjunctive: "to maintain supracompetitive prices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be shared among the patentee and the challenger rather than face what </w:t>
      </w:r>
      <w:r>
        <w:rPr>
          <w:rFonts w:ascii="arial" w:eastAsia="arial" w:hAnsi="arial" w:cs="arial"/>
          <w:b w:val="0"/>
          <w:i/>
          <w:strike w:val="0"/>
          <w:noProof w:val="0"/>
          <w:color w:val="000000"/>
          <w:position w:val="0"/>
          <w:sz w:val="20"/>
          <w:u w:val="none"/>
          <w:vertAlign w:val="baseline"/>
        </w:rPr>
        <w:t>might have been</w:t>
      </w:r>
      <w:r>
        <w:rPr>
          <w:rFonts w:ascii="arial" w:eastAsia="arial" w:hAnsi="arial" w:cs="arial"/>
          <w:b w:val="0"/>
          <w:i w:val="0"/>
          <w:strike w:val="0"/>
          <w:noProof w:val="0"/>
          <w:color w:val="000000"/>
          <w:position w:val="0"/>
          <w:sz w:val="20"/>
          <w:u w:val="none"/>
          <w:vertAlign w:val="baseline"/>
        </w:rPr>
        <w:t xml:space="preserve"> a competitive market" (emphasis added). The Court was still clearer a few sentences later:</w:t>
      </w:r>
    </w:p>
    <w:p>
      <w:pPr>
        <w:keepNext w:val="0"/>
        <w:widowControl w:val="0"/>
        <w:spacing w:before="200" w:after="0" w:line="260" w:lineRule="atLeast"/>
        <w:ind w:left="400" w:right="0" w:firstLine="0"/>
        <w:jc w:val="both"/>
      </w:pPr>
      <w:bookmarkStart w:id="218" w:name="Bookmark_para_31"/>
      <w:bookmarkEnd w:id="218"/>
      <w:r>
        <w:rPr>
          <w:rFonts w:ascii="arial" w:eastAsia="arial" w:hAnsi="arial" w:cs="arial"/>
          <w:b w:val="0"/>
          <w:i w:val="0"/>
          <w:strike w:val="0"/>
          <w:noProof w:val="0"/>
          <w:color w:val="000000"/>
          <w:position w:val="0"/>
          <w:sz w:val="20"/>
          <w:u w:val="none"/>
          <w:vertAlign w:val="baseline"/>
        </w:rPr>
        <w:t xml:space="preserve">The owner of a particularly valuable patent might contend, of course, that even a small risk of invalidity justifies a large payment. </w:t>
      </w:r>
      <w:bookmarkStart w:id="219" w:name="Bookmark_I5FNG9K228T3XM0040000400"/>
      <w:bookmarkEnd w:id="219"/>
      <w:r>
        <w:rPr>
          <w:rFonts w:ascii="arial" w:eastAsia="arial" w:hAnsi="arial" w:cs="arial"/>
          <w:b w:val="0"/>
          <w:i w:val="0"/>
          <w:strike w:val="0"/>
          <w:noProof w:val="0"/>
          <w:color w:val="000000"/>
          <w:position w:val="0"/>
          <w:sz w:val="20"/>
          <w:u w:val="none"/>
          <w:vertAlign w:val="baseline"/>
        </w:rPr>
        <w:t xml:space="preserve">But, be that as it may, the payment (if otherwise unexplained) likely </w:t>
      </w:r>
      <w:r>
        <w:rPr>
          <w:rFonts w:ascii="arial" w:eastAsia="arial" w:hAnsi="arial" w:cs="arial"/>
          <w:b w:val="0"/>
          <w:i/>
          <w:strike w:val="0"/>
          <w:noProof w:val="0"/>
          <w:color w:val="000000"/>
          <w:position w:val="0"/>
          <w:sz w:val="20"/>
          <w:u w:val="none"/>
          <w:vertAlign w:val="baseline"/>
        </w:rPr>
        <w:t>seeks to prevent the risk</w:t>
      </w:r>
      <w:r>
        <w:rPr>
          <w:rFonts w:ascii="arial" w:eastAsia="arial" w:hAnsi="arial" w:cs="arial"/>
          <w:b w:val="0"/>
          <w:i w:val="0"/>
          <w:strike w:val="0"/>
          <w:noProof w:val="0"/>
          <w:color w:val="000000"/>
          <w:position w:val="0"/>
          <w:sz w:val="20"/>
          <w:u w:val="none"/>
          <w:vertAlign w:val="baseline"/>
        </w:rPr>
        <w:t xml:space="preserve"> of competition. And, as we have said, </w:t>
      </w:r>
      <w:r>
        <w:rPr>
          <w:rFonts w:ascii="arial" w:eastAsia="arial" w:hAnsi="arial" w:cs="arial"/>
          <w:b w:val="0"/>
          <w:i/>
          <w:strike w:val="0"/>
          <w:noProof w:val="0"/>
          <w:color w:val="000000"/>
          <w:position w:val="0"/>
          <w:sz w:val="20"/>
          <w:u w:val="none"/>
          <w:vertAlign w:val="baseline"/>
        </w:rPr>
        <w:t>that consequence constitutes the relevant anticompetitive harm</w:t>
      </w:r>
      <w:r>
        <w:rPr>
          <w:rFonts w:ascii="arial" w:eastAsia="arial" w:hAnsi="arial" w:cs="arial"/>
          <w:b w:val="0"/>
          <w:i w:val="0"/>
          <w:strike w:val="0"/>
          <w:noProof w:val="0"/>
          <w:color w:val="000000"/>
          <w:position w:val="0"/>
          <w:sz w:val="20"/>
          <w:u w:val="none"/>
          <w:vertAlign w:val="baseline"/>
        </w:rPr>
        <w:t>. In a word, the size of the unexplained reverse payment can provide a workable surrogate for a patent's weakness, all without forcing a court to conduct a detailed exploration of the validity of the patent itself.</w:t>
      </w:r>
    </w:p>
    <w:p>
      <w:pPr>
        <w:keepNext w:val="0"/>
        <w:widowControl w:val="0"/>
        <w:spacing w:before="200" w:after="0" w:line="260" w:lineRule="atLeast"/>
        <w:ind w:left="0" w:right="0" w:firstLine="0"/>
        <w:jc w:val="both"/>
      </w:pPr>
      <w:bookmarkStart w:id="220" w:name="Bookmark_I5FNG9K228T3XM0040000400_2"/>
      <w:bookmarkEnd w:id="220"/>
      <w:bookmarkStart w:id="221" w:name="Bookmark_I5FNG9K228T3XM0030000400"/>
      <w:bookmarkEnd w:id="221"/>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at 2236—37</w:t>
        </w:r>
      </w:hyperlink>
      <w:r>
        <w:rPr>
          <w:rFonts w:ascii="arial" w:eastAsia="arial" w:hAnsi="arial" w:cs="arial"/>
          <w:b w:val="0"/>
          <w:i w:val="0"/>
          <w:strike w:val="0"/>
          <w:noProof w:val="0"/>
          <w:color w:val="000000"/>
          <w:position w:val="0"/>
          <w:sz w:val="20"/>
          <w:u w:val="none"/>
          <w:vertAlign w:val="baseline"/>
        </w:rPr>
        <w:t xml:space="preserve"> (emphasis added). The anticompetitive harm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that the patent surely would have been invalidated if not for the settlement, and that a generic therefore surely would have entered the market sooner; if that were the anticompetitive harm, a determination of a patent settlement's lawfulness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require the very same patent litigation that the settlement avoided. The anticompetitive harm,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is that the reverse-payment settlement "seeks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prevent the risk</w:t>
      </w:r>
      <w:r>
        <w:rPr>
          <w:rFonts w:ascii="arial" w:eastAsia="arial" w:hAnsi="arial" w:cs="arial"/>
          <w:b w:val="0"/>
          <w:i w:val="0"/>
          <w:strike w:val="0"/>
          <w:noProof w:val="0"/>
          <w:color w:val="000000"/>
          <w:position w:val="0"/>
          <w:sz w:val="20"/>
          <w:u w:val="none"/>
          <w:vertAlign w:val="baseline"/>
        </w:rPr>
        <w:t xml:space="preserve"> of competition" (emphasis added). The plaintiffs thus need not plead (or prove) the weakness of the '577 patent, because the patent's ultimate validity is not at issue. Rather, they must plead facts sufficient to infer (and they must ultimately prove, within the rule-of-reason framework) that a large and otherwise unjustified reverse-payment was made as part of the settlement in order to shore up some perceived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the '577 patent's invalidity.</w:t>
      </w:r>
    </w:p>
    <w:p>
      <w:pPr>
        <w:keepNext w:val="0"/>
        <w:widowControl w:val="0"/>
        <w:spacing w:before="200" w:after="0" w:line="260" w:lineRule="atLeast"/>
        <w:ind w:left="0" w:right="0" w:firstLine="0"/>
        <w:jc w:val="both"/>
      </w:pPr>
      <w:bookmarkStart w:id="222" w:name="Bookmark_para_32"/>
      <w:bookmarkEnd w:id="222"/>
      <w:r>
        <w:rPr>
          <w:rFonts w:ascii="arial" w:eastAsia="arial" w:hAnsi="arial" w:cs="arial"/>
          <w:b w:val="0"/>
          <w:i w:val="0"/>
          <w:strike w:val="0"/>
          <w:noProof w:val="0"/>
          <w:color w:val="000000"/>
          <w:position w:val="0"/>
          <w:sz w:val="20"/>
          <w:u w:val="none"/>
          <w:vertAlign w:val="baseline"/>
        </w:rPr>
        <w:t xml:space="preserve">The rule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might seem unusual or counterintuitive given the typical settlement context. The value of a lawsuit is traditionally estimated as the expected value of judgment multiplied by the probability of liability, less litigation costs. The probabilities are of course always rough estimates, but the parties evaluate the favorability of potential settlements by their respective estimation of risk and the allocation of that value between them. In the Hatch-Waxman context, however, where litigation was provoked by Paragraph IV certification (and production of allegedly infringing product need not have begun), there may be no actual damages, and the adverse outcome for the patent-holder is measured not by the size of a potential judgment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but by the forgone monopoly profits in the event of patent invalidation. Any settlement that takes the risk of patent invalidation into account will tacitly reflect the value of continuing the patent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monopoly. Of course it will generally be in the interest of both patent-holder and patent-challenger to share the monopoly profits rather than compete:</w:t>
      </w:r>
    </w:p>
    <w:p>
      <w:pPr>
        <w:keepNext w:val="0"/>
        <w:widowControl w:val="0"/>
        <w:spacing w:after="0" w:line="260" w:lineRule="atLeast"/>
        <w:ind w:left="400" w:right="0" w:firstLine="0"/>
        <w:jc w:val="both"/>
      </w:pPr>
      <w:bookmarkStart w:id="223" w:name="Bookmark_para_33"/>
      <w:bookmarkEnd w:id="223"/>
      <w:r>
        <w:rPr>
          <w:rFonts w:ascii="arial" w:eastAsia="arial" w:hAnsi="arial" w:cs="arial"/>
          <w:b w:val="0"/>
          <w:i w:val="0"/>
          <w:strike w:val="0"/>
          <w:noProof w:val="0"/>
          <w:color w:val="000000"/>
          <w:position w:val="0"/>
          <w:sz w:val="20"/>
          <w:u w:val="none"/>
          <w:vertAlign w:val="baseline"/>
        </w:rPr>
        <w:t xml:space="preserve">Indeed, there are indications that patentees sometimes pay a generic challenger a sum even larger than what the generic would gain in profits if it won the paragraph IV litigation and entered the market. </w:t>
      </w:r>
      <w:bookmarkStart w:id="224" w:name="Bookmark_I5FNG9K22HM5W90010000400"/>
      <w:bookmarkEnd w:id="224"/>
      <w:r>
        <w:rPr>
          <w:rFonts w:ascii="arial" w:eastAsia="arial" w:hAnsi="arial" w:cs="arial"/>
          <w:b w:val="0"/>
          <w:i w:val="0"/>
          <w:strike w:val="0"/>
          <w:noProof w:val="0"/>
          <w:color w:val="000000"/>
          <w:position w:val="0"/>
          <w:sz w:val="20"/>
          <w:u w:val="none"/>
          <w:vertAlign w:val="baseline"/>
        </w:rPr>
        <w:t>The rationale behind a payment of this size cannot in every case be supported by traditional settlement considerations. The payment may instead provide strong evidence that the patentee seeks to induce the generic challenger to abandon its claim with a share of its monopoly profits that would otherwise be lost in the competitive market.</w:t>
      </w:r>
    </w:p>
    <w:p>
      <w:pPr>
        <w:keepNext w:val="0"/>
        <w:widowControl w:val="0"/>
        <w:spacing w:before="200" w:after="0" w:line="260" w:lineRule="atLeast"/>
        <w:ind w:left="0" w:right="0" w:firstLine="0"/>
        <w:jc w:val="both"/>
      </w:pPr>
      <w:bookmarkStart w:id="225" w:name="Bookmark_I5FNG9K22HM5W90010000400_2"/>
      <w:bookmarkEnd w:id="225"/>
      <w:bookmarkStart w:id="226" w:name="Bookmark_I5FNG9K228T3XM0050000400"/>
      <w:bookmarkEnd w:id="226"/>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at 2235</w:t>
        </w:r>
      </w:hyperlink>
      <w:r>
        <w:rPr>
          <w:rFonts w:ascii="arial" w:eastAsia="arial" w:hAnsi="arial" w:cs="arial"/>
          <w:b w:val="0"/>
          <w:i w:val="0"/>
          <w:strike w:val="0"/>
          <w:noProof w:val="0"/>
          <w:color w:val="000000"/>
          <w:position w:val="0"/>
          <w:sz w:val="20"/>
          <w:u w:val="none"/>
          <w:vertAlign w:val="baseline"/>
        </w:rPr>
        <w:t xml:space="preserve"> (citation omitted). In such cases,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probability of patent invalidation will factor only into the allocation of monopoly profits between patent-holder and patent-challenger, while the consumer bears the cost of monopoly prices irrespective of the patent's strength or weakness.</w:t>
      </w:r>
    </w:p>
    <w:p>
      <w:pPr>
        <w:keepNext w:val="0"/>
        <w:widowControl w:val="0"/>
        <w:spacing w:before="200" w:after="0" w:line="260" w:lineRule="atLeast"/>
        <w:ind w:left="0" w:right="0" w:firstLine="0"/>
        <w:jc w:val="both"/>
      </w:pPr>
      <w:bookmarkStart w:id="227" w:name="Bookmark_para_34"/>
      <w:bookmarkEnd w:id="227"/>
      <w:bookmarkStart w:id="228" w:name="Bookmark_I5FNG9K22HM5W90030000400"/>
      <w:bookmarkEnd w:id="228"/>
      <w:r>
        <w:rPr>
          <w:rFonts w:ascii="arial" w:eastAsia="arial" w:hAnsi="arial" w:cs="arial"/>
          <w:b w:val="0"/>
          <w:i w:val="0"/>
          <w:strike w:val="0"/>
          <w:noProof w:val="0"/>
          <w:color w:val="000000"/>
          <w:position w:val="0"/>
          <w:sz w:val="20"/>
          <w:u w:val="none"/>
          <w:vertAlign w:val="baseline"/>
        </w:rPr>
        <w:t xml:space="preserve">Of course,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i/>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expected cost of litigation for the patent-holder necessarily includes the risk of invalidation and forgone monopoly profits, whether or not that is a permissible settlement consideration. It is thus no surprise if pre-</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settlements in the Hatch-Waxman context frequently included large payments flowing from patent-holders to patent-challengers (that is, large "reverse" payments), and we might therefore expect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discourage many patent settlements, especially where the patent in question is very valuable. That may impose a cost on the judicial system, which, as the Supreme Court acknowledged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prefers "a general legal policy favoring the settlement of disputes," </w:t>
      </w:r>
      <w:bookmarkStart w:id="229" w:name="Bookmark_I5FNG9K22HM5W90020000400"/>
      <w:bookmarkEnd w:id="22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2234</w:t>
        </w:r>
      </w:hyperlink>
      <w:r>
        <w:rPr>
          <w:rFonts w:ascii="arial" w:eastAsia="arial" w:hAnsi="arial" w:cs="arial"/>
          <w:b w:val="0"/>
          <w:i w:val="0"/>
          <w:strike w:val="0"/>
          <w:noProof w:val="0"/>
          <w:color w:val="000000"/>
          <w:position w:val="0"/>
          <w:sz w:val="20"/>
          <w:u w:val="none"/>
          <w:vertAlign w:val="baseline"/>
        </w:rPr>
        <w:t xml:space="preserve">, but it is consistent with what the Court observed were the purposes of the Hatch-Waxman Act and Paragraph IV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(observing "the general procompetitive thrust of the statute," and "its specific provisions facilitating challenges to a patent's validity").</w:t>
      </w:r>
    </w:p>
    <w:p>
      <w:pPr>
        <w:keepNext w:val="0"/>
        <w:widowControl w:val="0"/>
        <w:spacing w:before="200" w:after="0" w:line="260" w:lineRule="atLeast"/>
        <w:ind w:left="0" w:right="0" w:firstLine="0"/>
        <w:jc w:val="both"/>
      </w:pPr>
      <w:bookmarkStart w:id="230" w:name="Bookmark_para_35"/>
      <w:bookmarkEnd w:id="230"/>
      <w:r>
        <w:rPr>
          <w:rFonts w:ascii="arial" w:eastAsia="arial" w:hAnsi="arial" w:cs="arial"/>
          <w:b w:val="0"/>
          <w:i w:val="0"/>
          <w:strike w:val="0"/>
          <w:noProof w:val="0"/>
          <w:color w:val="000000"/>
          <w:position w:val="0"/>
          <w:sz w:val="20"/>
          <w:u w:val="none"/>
          <w:vertAlign w:val="baseline"/>
        </w:rPr>
        <w:t>In sum, though the defendants are correct that the several complaints in the present case plead relatively bare allegations of the '577 patent's vulnerability and the hypothetical earlier entry of a generic if not for the settlement agreement,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sparsity of those allegations does not fatally undermine the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salient question is not whether the fully-litigated patent would ultimately be found valid or invalid—that may never be known—but whether the settlement included a large and unjustified reverse payment leading to the inference of profit-sharing to avoid the risk of competition.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"Large" and "Unjustified" Reverse "Payment" Under Actavis</w:t>
      </w:r>
    </w:p>
    <w:p>
      <w:pPr>
        <w:keepNext w:val="0"/>
        <w:widowControl w:val="0"/>
        <w:spacing w:before="200" w:after="0" w:line="260" w:lineRule="atLeast"/>
        <w:ind w:left="0" w:right="0" w:firstLine="0"/>
        <w:jc w:val="both"/>
      </w:pPr>
      <w:bookmarkStart w:id="231" w:name="Bookmark_para_36"/>
      <w:bookmarkEnd w:id="23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 brand-name manufacturer and a generic manufacturer settled a lawsuit provoked by Paragraph IV certification, and the settlement terms required the generic manufacturer to drop the patent challenge and provide promotional services for the brand-name drug. In exchange, the generic manufacturer received large payments and an entry date for the competing generic that was not immediate but still earlier than the expiration of the patent. The subsequent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alleged that the services were mere pretext for the payment, which was in truth a payment to delay competition. Nearly identical allegations are presented here. The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held that large and unjustified reverse payments bring with them the risk of significant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anticompetitive effects, that the plaintiffs should have been allowed to present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and that rule-of-reason analysis should be applied, but it did not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discuss in any detail whether or why the reverse payment alleged in that case was "large" or "unjustified." District courts applying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have thus had relatively little guidance on the question of what constitutes a "large" and "unjustified" reverse payment, and have diverged even on the issue of what constitutes "payment." The defendants here dispute the plaintiffs' characterization of their settlement agreement on all three grounds. The disputed "agreement" was in fact a complicated transaction involving a series of agreements settling separate litigation over two drug patents, and the defendants argue that nothing in any of it constitutes a reverse payment, but only compensation for services; and that even if some part of it does constitute a reverse payment, it is neither large nor unjustified.</w:t>
      </w:r>
    </w:p>
    <w:p>
      <w:pPr>
        <w:keepNext w:val="0"/>
        <w:widowControl w:val="0"/>
        <w:spacing w:before="240" w:after="0" w:line="260" w:lineRule="atLeast"/>
        <w:ind w:left="0" w:right="0" w:firstLine="0"/>
        <w:jc w:val="both"/>
      </w:pPr>
      <w:bookmarkStart w:id="232" w:name="Bookmark_para_37"/>
      <w:bookmarkEnd w:id="232"/>
      <w:bookmarkStart w:id="233" w:name="Bookmark_I4969FYNG9V000HF4VM0005J"/>
      <w:bookmarkEnd w:id="233"/>
      <w:bookmarkStart w:id="234" w:name="Bookmark_I4969FYNM50000HF4VM0005K"/>
      <w:bookmarkEnd w:id="234"/>
      <w:bookmarkStart w:id="235" w:name="Bookmark_I5FNG9K22HM5W90050000400"/>
      <w:bookmarkEnd w:id="235"/>
      <w:r>
        <w:rPr>
          <w:rFonts w:ascii="arial" w:eastAsia="arial" w:hAnsi="arial" w:cs="arial"/>
          <w:b w:val="0"/>
          <w:i w:val="0"/>
          <w:strike w:val="0"/>
          <w:noProof w:val="0"/>
          <w:color w:val="000000"/>
          <w:position w:val="0"/>
          <w:sz w:val="20"/>
          <w:u w:val="none"/>
          <w:vertAlign w:val="baseline"/>
        </w:rPr>
        <w:t xml:space="preserve">The defendants emphasize that every settlement necessarily involves consideration on both sides, and that it therefore cannot be the case that a "reverse payment" of the sort contemplated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present merely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because an alleged patent infringer may be said to have received consideration as part of a settlement. That is doubtless correct—even a promise to stop litigating has value and may constitute consideration in a settlement agreement—but the defendants go altogether too far the other way in their attempt to read a maximally restrictive sense of "payment" into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decision. </w:t>
      </w:r>
      <w:bookmarkStart w:id="236" w:name="Bookmark_I4969FYFV58000HF4VM00041"/>
      <w:bookmarkEnd w:id="236"/>
      <w:bookmarkStart w:id="237" w:name="Bookmark_I4969FYP0BP000HF4VM0005P"/>
      <w:bookmarkEnd w:id="237"/>
      <w:bookmarkStart w:id="238" w:name="Bookmark_I4969FYNS04000HF4VM0005M"/>
      <w:bookmarkEnd w:id="238"/>
      <w:bookmarkStart w:id="239" w:name="Bookmark_I4969FYP810000HF4VM0005S"/>
      <w:bookmarkEnd w:id="239"/>
      <w:bookmarkStart w:id="240" w:name="Bookmark_I5FNG9M62SF7Y30010000400"/>
      <w:bookmarkEnd w:id="240"/>
      <w:r>
        <w:rPr>
          <w:rFonts w:ascii="arial" w:eastAsia="arial" w:hAnsi="arial" w:cs="arial"/>
          <w:b w:val="0"/>
          <w:i w:val="0"/>
          <w:strike w:val="0"/>
          <w:noProof w:val="0"/>
          <w:color w:val="000000"/>
          <w:position w:val="0"/>
          <w:sz w:val="20"/>
          <w:u w:val="none"/>
          <w:vertAlign w:val="baseline"/>
        </w:rPr>
        <w:t xml:space="preserve">They make much of the fact that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contains repeated examples and references to payments of money, and not to payments of some other form of consideration, and they dispute whether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comprises transfers of value in any form other than cash. As of the date of this writing, two courts have agreed with that view, </w:t>
      </w:r>
      <w:r>
        <w:rPr>
          <w:rFonts w:ascii="arial" w:eastAsia="arial" w:hAnsi="arial" w:cs="arial"/>
          <w:b w:val="0"/>
          <w:i/>
          <w:strike w:val="0"/>
          <w:noProof w:val="0"/>
          <w:color w:val="000000"/>
          <w:position w:val="0"/>
          <w:sz w:val="20"/>
          <w:u w:val="none"/>
          <w:vertAlign w:val="baseline"/>
        </w:rPr>
        <w:t xml:space="preserve">see </w:t>
      </w:r>
      <w:bookmarkStart w:id="241" w:name="Bookmark_I5FNG9K22HM5W90040000400"/>
      <w:bookmarkEnd w:id="241"/>
      <w:hyperlink r:id="rId73" w:history="1">
        <w:r>
          <w:rPr>
            <w:rFonts w:ascii="arial" w:eastAsia="arial" w:hAnsi="arial" w:cs="arial"/>
            <w:b w:val="0"/>
            <w:i/>
            <w:strike w:val="0"/>
            <w:noProof w:val="0"/>
            <w:color w:val="0077CC"/>
            <w:position w:val="0"/>
            <w:sz w:val="20"/>
            <w:u w:val="single"/>
            <w:vertAlign w:val="baseline"/>
          </w:rPr>
          <w:t xml:space="preserve">In re Loestrin 24 Fe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No. 1:13-MD-2472-S-PAS, 2014 U.S. Dist. LEXIS 123322, 2014 WL 4368924 (D.R.I. Sept. 4, 2014)</w:t>
        </w:r>
      </w:hyperlink>
      <w:r>
        <w:rPr>
          <w:rFonts w:ascii="arial" w:eastAsia="arial" w:hAnsi="arial" w:cs="arial"/>
          <w:b w:val="0"/>
          <w:i w:val="0"/>
          <w:strike w:val="0"/>
          <w:noProof w:val="0"/>
          <w:color w:val="000000"/>
          <w:position w:val="0"/>
          <w:sz w:val="20"/>
          <w:u w:val="none"/>
          <w:vertAlign w:val="baseline"/>
        </w:rPr>
        <w:t xml:space="preserve">; </w:t>
      </w:r>
      <w:bookmarkStart w:id="242" w:name="Bookmark_I5FNG9M12D6N6T0010000400"/>
      <w:bookmarkEnd w:id="242"/>
      <w:hyperlink r:id="rId74"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18 F. Supp. 3d 560, 2014 WL 282755 (D.N.J. Jan. 24, 2014)</w:t>
        </w:r>
      </w:hyperlink>
      <w:r>
        <w:rPr>
          <w:rFonts w:ascii="arial" w:eastAsia="arial" w:hAnsi="arial" w:cs="arial"/>
          <w:b w:val="0"/>
          <w:i w:val="0"/>
          <w:strike w:val="0"/>
          <w:noProof w:val="0"/>
          <w:color w:val="000000"/>
          <w:position w:val="0"/>
          <w:sz w:val="20"/>
          <w:u w:val="none"/>
          <w:vertAlign w:val="baseline"/>
        </w:rPr>
        <w:t xml:space="preserve">, though one of them did so with "significant reservations" and called that conclusion "vexing." </w:t>
      </w:r>
      <w:bookmarkStart w:id="243" w:name="Bookmark_I5FNG9M12D6N6T0030000400"/>
      <w:bookmarkEnd w:id="243"/>
      <w:hyperlink r:id="rId73" w:history="1">
        <w:r>
          <w:rPr>
            <w:rFonts w:ascii="arial" w:eastAsia="arial" w:hAnsi="arial" w:cs="arial"/>
            <w:b w:val="0"/>
            <w:i/>
            <w:strike w:val="0"/>
            <w:noProof w:val="0"/>
            <w:color w:val="0077CC"/>
            <w:position w:val="0"/>
            <w:sz w:val="20"/>
            <w:u w:val="single"/>
            <w:vertAlign w:val="baseline"/>
          </w:rPr>
          <w:t>In re Loestrin</w:t>
        </w:r>
      </w:hyperlink>
      <w:hyperlink r:id="rId73" w:history="1">
        <w:r>
          <w:rPr>
            <w:rFonts w:ascii="arial" w:eastAsia="arial" w:hAnsi="arial" w:cs="arial"/>
            <w:b w:val="0"/>
            <w:i/>
            <w:strike w:val="0"/>
            <w:noProof w:val="0"/>
            <w:color w:val="0077CC"/>
            <w:position w:val="0"/>
            <w:sz w:val="20"/>
            <w:u w:val="single"/>
            <w:vertAlign w:val="baseline"/>
          </w:rPr>
          <w:t>, 2014 U.S. Dist. LEXIS 123322, 2014 WL 4368924, at *11</w:t>
        </w:r>
      </w:hyperlink>
      <w:r>
        <w:rPr>
          <w:rFonts w:ascii="arial" w:eastAsia="arial" w:hAnsi="arial" w:cs="arial"/>
          <w:b w:val="0"/>
          <w:i w:val="0"/>
          <w:strike w:val="0"/>
          <w:noProof w:val="0"/>
          <w:color w:val="000000"/>
          <w:position w:val="0"/>
          <w:sz w:val="20"/>
          <w:u w:val="none"/>
          <w:vertAlign w:val="baseline"/>
        </w:rPr>
        <w:t xml:space="preserve">. </w:t>
      </w:r>
      <w:bookmarkStart w:id="244" w:name="Bookmark_I5FNG9M62SF7Y30010000400_2"/>
      <w:bookmarkEnd w:id="244"/>
      <w:r>
        <w:rPr>
          <w:rFonts w:ascii="arial" w:eastAsia="arial" w:hAnsi="arial" w:cs="arial"/>
          <w:b w:val="0"/>
          <w:i w:val="0"/>
          <w:strike w:val="0"/>
          <w:noProof w:val="0"/>
          <w:color w:val="000000"/>
          <w:position w:val="0"/>
          <w:sz w:val="20"/>
          <w:u w:val="none"/>
          <w:vertAlign w:val="baseline"/>
        </w:rPr>
        <w:t xml:space="preserve">A majority of courts to have examined the issue take the opposite position, that "payment" is not limited to cash transfers. </w:t>
      </w:r>
      <w:r>
        <w:rPr>
          <w:rFonts w:ascii="arial" w:eastAsia="arial" w:hAnsi="arial" w:cs="arial"/>
          <w:b w:val="0"/>
          <w:i/>
          <w:strike w:val="0"/>
          <w:noProof w:val="0"/>
          <w:color w:val="000000"/>
          <w:position w:val="0"/>
          <w:sz w:val="20"/>
          <w:u w:val="none"/>
          <w:vertAlign w:val="baseline"/>
        </w:rPr>
        <w:t xml:space="preserve">See, e.g., </w:t>
      </w:r>
      <w:bookmarkStart w:id="245" w:name="Bookmark_I5FNG9M12D6N6T0050000400"/>
      <w:bookmarkEnd w:id="245"/>
      <w:hyperlink r:id="rId70" w:history="1">
        <w:r>
          <w:rPr>
            <w:rFonts w:ascii="arial" w:eastAsia="arial" w:hAnsi="arial" w:cs="arial"/>
            <w:b w:val="0"/>
            <w:i/>
            <w:strike w:val="0"/>
            <w:noProof w:val="0"/>
            <w:color w:val="0077CC"/>
            <w:position w:val="0"/>
            <w:sz w:val="20"/>
            <w:u w:val="single"/>
            <w:vertAlign w:val="baseline"/>
          </w:rPr>
          <w:t>United Food &amp; Commercial Workers Local 1776 &amp; Participating Emp'rs Health &amp; Welfare Fund v. Teikoku Pharma USA, Inc</w:t>
        </w:r>
      </w:hyperlink>
      <w:hyperlink r:id="rId70" w:history="1">
        <w:r>
          <w:rPr>
            <w:rFonts w:ascii="arial" w:eastAsia="arial" w:hAnsi="arial" w:cs="arial"/>
            <w:b w:val="0"/>
            <w:i/>
            <w:strike w:val="0"/>
            <w:noProof w:val="0"/>
            <w:color w:val="0077CC"/>
            <w:position w:val="0"/>
            <w:sz w:val="20"/>
            <w:u w:val="single"/>
            <w:vertAlign w:val="baseline"/>
          </w:rPr>
          <w:t>., No. 14-MD-02521-WHO, 2014 U.S. Dist. LEXIS 161069, 2014 WL 6465235 (N.D. Cal. Nov. 17,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246" w:name="Bookmark_I5FNG9M62SF7Y30020000400"/>
      <w:bookmarkEnd w:id="246"/>
      <w:hyperlink r:id="rId71" w:history="1">
        <w:r>
          <w:rPr>
            <w:rFonts w:ascii="arial" w:eastAsia="arial" w:hAnsi="arial" w:cs="arial"/>
            <w:b w:val="0"/>
            <w:i/>
            <w:strike w:val="0"/>
            <w:noProof w:val="0"/>
            <w:color w:val="0077CC"/>
            <w:position w:val="0"/>
            <w:sz w:val="20"/>
            <w:u w:val="single"/>
            <w:vertAlign w:val="baseline"/>
          </w:rPr>
          <w:t xml:space="preserve">In re Effexor XR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No. CIV. 11-5479 PGS,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w:t>
      </w:r>
      <w:bookmarkStart w:id="247" w:name="Bookmark_I5FNG9M62SF7Y30040000400"/>
      <w:bookmarkEnd w:id="247"/>
      <w:hyperlink r:id="rId72" w:history="1">
        <w:r>
          <w:rPr>
            <w:rFonts w:ascii="arial" w:eastAsia="arial" w:hAnsi="arial" w:cs="arial"/>
            <w:b w:val="0"/>
            <w:i/>
            <w:strike w:val="0"/>
            <w:noProof w:val="0"/>
            <w:color w:val="0077CC"/>
            <w:position w:val="0"/>
            <w:sz w:val="20"/>
            <w:u w:val="single"/>
            <w:vertAlign w:val="baseline"/>
          </w:rPr>
          <w:t xml:space="preserve">In re Niaspan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42 F. Supp. 3d 735, 2014 WL 4403848 (E.D. Pa. Sept. 5, 2014)</w:t>
        </w:r>
      </w:hyperlink>
      <w:r>
        <w:rPr>
          <w:rFonts w:ascii="arial" w:eastAsia="arial" w:hAnsi="arial" w:cs="arial"/>
          <w:b w:val="0"/>
          <w:i w:val="0"/>
          <w:strike w:val="0"/>
          <w:noProof w:val="0"/>
          <w:color w:val="000000"/>
          <w:position w:val="0"/>
          <w:sz w:val="20"/>
          <w:u w:val="none"/>
          <w:vertAlign w:val="baseline"/>
        </w:rPr>
        <w:t xml:space="preserve">; </w:t>
      </w:r>
      <w:bookmarkStart w:id="248" w:name="Bookmark_I5FNG9MG2N1RFM0010000400"/>
      <w:bookmarkEnd w:id="248"/>
      <w:hyperlink r:id="rId7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968 F. Supp. 2d 367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must agree with the latter group.</w:t>
      </w:r>
    </w:p>
    <w:p>
      <w:pPr>
        <w:keepNext w:val="0"/>
        <w:widowControl w:val="0"/>
        <w:spacing w:before="240" w:after="0" w:line="260" w:lineRule="atLeast"/>
        <w:ind w:left="0" w:right="0" w:firstLine="0"/>
        <w:jc w:val="both"/>
      </w:pPr>
      <w:bookmarkStart w:id="249" w:name="Bookmark_para_38"/>
      <w:bookmarkEnd w:id="249"/>
      <w:bookmarkStart w:id="250" w:name="Bookmark_I4969FYG3TJ000HF4VM00043"/>
      <w:bookmarkEnd w:id="250"/>
      <w:bookmarkStart w:id="251" w:name="Bookmark_I5FNG9MG2N1RFM0040000400"/>
      <w:bookmarkEnd w:id="251"/>
      <w:r>
        <w:rPr>
          <w:rFonts w:ascii="arial" w:eastAsia="arial" w:hAnsi="arial" w:cs="arial"/>
          <w:b w:val="0"/>
          <w:i w:val="0"/>
          <w:strike w:val="0"/>
          <w:noProof w:val="0"/>
          <w:color w:val="000000"/>
          <w:position w:val="0"/>
          <w:sz w:val="20"/>
          <w:u w:val="none"/>
          <w:vertAlign w:val="baseline"/>
        </w:rPr>
        <w:t xml:space="preserve">Black's Law Dictionary defines "payment" as the "[p]erformance of an obligation by the delivery of money </w:t>
      </w:r>
      <w:r>
        <w:rPr>
          <w:rFonts w:ascii="arial" w:eastAsia="arial" w:hAnsi="arial" w:cs="arial"/>
          <w:b w:val="0"/>
          <w:i/>
          <w:strike w:val="0"/>
          <w:noProof w:val="0"/>
          <w:color w:val="000000"/>
          <w:position w:val="0"/>
          <w:sz w:val="20"/>
          <w:u w:val="none"/>
          <w:vertAlign w:val="baseline"/>
        </w:rPr>
        <w:t>or some other valuable thing</w:t>
      </w:r>
      <w:r>
        <w:rPr>
          <w:rFonts w:ascii="arial" w:eastAsia="arial" w:hAnsi="arial" w:cs="arial"/>
          <w:b w:val="0"/>
          <w:i w:val="0"/>
          <w:strike w:val="0"/>
          <w:noProof w:val="0"/>
          <w:color w:val="000000"/>
          <w:position w:val="0"/>
          <w:sz w:val="20"/>
          <w:u w:val="none"/>
          <w:vertAlign w:val="baseline"/>
        </w:rPr>
        <w:t xml:space="preserve"> accepted in partial or full discharge of the obligation." (10th ed. 2014) (emphasis added). The Oxford English Dictionary defines it as a "sum of money (</w:t>
      </w:r>
      <w:r>
        <w:rPr>
          <w:rFonts w:ascii="arial" w:eastAsia="arial" w:hAnsi="arial" w:cs="arial"/>
          <w:b w:val="0"/>
          <w:i/>
          <w:strike w:val="0"/>
          <w:noProof w:val="0"/>
          <w:color w:val="000000"/>
          <w:position w:val="0"/>
          <w:sz w:val="20"/>
          <w:u w:val="none"/>
          <w:vertAlign w:val="baseline"/>
        </w:rPr>
        <w:t>or equivalent</w:t>
      </w:r>
      <w:r>
        <w:rPr>
          <w:rFonts w:ascii="arial" w:eastAsia="arial" w:hAnsi="arial" w:cs="arial"/>
          <w:b w:val="0"/>
          <w:i w:val="0"/>
          <w:strike w:val="0"/>
          <w:noProof w:val="0"/>
          <w:color w:val="000000"/>
          <w:position w:val="0"/>
          <w:sz w:val="20"/>
          <w:u w:val="none"/>
          <w:vertAlign w:val="baseline"/>
        </w:rPr>
        <w:t xml:space="preserve">) paid or payable, esp. in return for goods or services or in discharge of a debt." (3d ed. 2005) (emphasis added). </w:t>
      </w:r>
      <w:bookmarkStart w:id="252" w:name="Bookmark_I5FNG9MH2SF82C0010000400"/>
      <w:bookmarkEnd w:id="252"/>
      <w:r>
        <w:rPr>
          <w:rFonts w:ascii="arial" w:eastAsia="arial" w:hAnsi="arial" w:cs="arial"/>
          <w:b w:val="0"/>
          <w:i w:val="0"/>
          <w:strike w:val="0"/>
          <w:noProof w:val="0"/>
          <w:color w:val="000000"/>
          <w:position w:val="0"/>
          <w:sz w:val="20"/>
          <w:u w:val="none"/>
          <w:vertAlign w:val="baseline"/>
        </w:rPr>
        <w:t xml:space="preserve">Those definitions quite sensibly recognize the substitutability of value, because the distinction between transfers of money and transfers of things that are worth money is, in the words of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dissent, "a distinction without a difference." </w:t>
      </w:r>
      <w:bookmarkStart w:id="253" w:name="Bookmark_I5FNG9MG2N1RFM0030000400"/>
      <w:bookmarkEnd w:id="253"/>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2243</w:t>
        </w:r>
      </w:hyperlink>
      <w:r>
        <w:rPr>
          <w:rFonts w:ascii="arial" w:eastAsia="arial" w:hAnsi="arial" w:cs="arial"/>
          <w:b w:val="0"/>
          <w:i w:val="0"/>
          <w:strike w:val="0"/>
          <w:noProof w:val="0"/>
          <w:color w:val="000000"/>
          <w:position w:val="0"/>
          <w:sz w:val="20"/>
          <w:u w:val="none"/>
          <w:vertAlign w:val="baseline"/>
        </w:rPr>
        <w:t xml:space="preserve"> (Roberts, C.J., dissenting). </w:t>
      </w:r>
      <w:bookmarkStart w:id="254" w:name="Bookmark_I5FNG9MH2SF82C0010000400_2"/>
      <w:bookmarkEnd w:id="254"/>
      <w:r>
        <w:rPr>
          <w:rFonts w:ascii="arial" w:eastAsia="arial" w:hAnsi="arial" w:cs="arial"/>
          <w:b w:val="0"/>
          <w:i w:val="0"/>
          <w:strike w:val="0"/>
          <w:noProof w:val="0"/>
          <w:color w:val="000000"/>
          <w:position w:val="0"/>
          <w:sz w:val="20"/>
          <w:u w:val="none"/>
          <w:vertAlign w:val="baseline"/>
        </w:rPr>
        <w:t xml:space="preserve">Indeed,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can be avoided simply by making one's large and unjustifiable reverse-payment settlement in gold bullion rather than dollars, then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stands for nothing but an arbitrary restriction on the form such payments can take. To read the decision that way is to cabin its reasoning to the point of meaninglessness. I must conclude that </w:t>
      </w:r>
      <w:bookmarkStart w:id="255" w:name="Bookmark_LNHNREFclscc6"/>
      <w:bookmarkEnd w:id="255"/>
      <w:hyperlink r:id="rId8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large and unjustified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reverse payments that "can bring with [them] the risk of significant anticompetitive effects," </w:t>
      </w:r>
      <w:bookmarkStart w:id="256" w:name="Bookmark_I5FNG9MG2N1RFM0050000400"/>
      <w:bookmarkEnd w:id="25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(majority opinion), can bring those effects regardless of the particular form the transfer of value takes and thus are not limited to cash payments. A settlement agreement may be very simple or tremendously complex, and it may involve all manner of consideration; and if, when viewed holistically, it effects a large and unexplained net transfer of value from the patent-holder to the alleged patent-infringer, it may fairly be called a reverse-payment settlement. </w:t>
      </w:r>
      <w:bookmarkStart w:id="257" w:name="Bookmark_I5FNG9MH2SF82C0030000400"/>
      <w:bookmarkEnd w:id="257"/>
      <w:r>
        <w:rPr>
          <w:rFonts w:ascii="arial" w:eastAsia="arial" w:hAnsi="arial" w:cs="arial"/>
          <w:b w:val="0"/>
          <w:i w:val="0"/>
          <w:strike w:val="0"/>
          <w:noProof w:val="0"/>
          <w:color w:val="000000"/>
          <w:position w:val="0"/>
          <w:sz w:val="20"/>
          <w:u w:val="none"/>
          <w:vertAlign w:val="baseline"/>
        </w:rPr>
        <w:t xml:space="preserve">Such a settlement,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not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unlawful: the parties to the settlement might be able to explain the apparent "missing" value for the patent-holder in a procompetitive way—and they will have an opportunity to do so under the rule-of-reason framework—in which case the reverse payment may turn out to be justified, or to be entirely illusory. But if otherwise unexplained, it "likely seeks to prevent the risk of competition. And . . . that consequence constitutes the relevant anticompetitive harm." </w:t>
      </w:r>
      <w:bookmarkStart w:id="258" w:name="Bookmark_I5FNG9MH2SF82C0020000400"/>
      <w:bookmarkEnd w:id="258"/>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39"/>
      <w:bookmarkEnd w:id="259"/>
      <w:bookmarkStart w:id="260" w:name="Bookmark_LNHNREFclscc7"/>
      <w:bookmarkEnd w:id="260"/>
      <w:hyperlink r:id="rId9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261" w:name="Bookmark_I4969FYG7MP000HF4VM00044"/>
      <w:bookmarkEnd w:id="261"/>
      <w:bookmarkStart w:id="262" w:name="Bookmark_I5FNG9MH2SF82C0050000400"/>
      <w:bookmarkEnd w:id="26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likelihood of a reverse payment bringing about anticompetitive effects depends upon its size,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its scale in relation to the payor's anticipated future litigation costs, its independence from other services for which it might represent payment, and the lack of any other convincing justification." </w:t>
      </w:r>
      <w:bookmarkStart w:id="263" w:name="Bookmark_I5FNG9MH2SF82C0040000400"/>
      <w:bookmarkEnd w:id="26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w:t>
      </w:r>
      <w:bookmarkStart w:id="264" w:name="Bookmark_I5FNG9MH2HM69H0020000400"/>
      <w:bookmarkEnd w:id="264"/>
      <w:r>
        <w:rPr>
          <w:rFonts w:ascii="arial" w:eastAsia="arial" w:hAnsi="arial" w:cs="arial"/>
          <w:b w:val="0"/>
          <w:i w:val="0"/>
          <w:strike w:val="0"/>
          <w:noProof w:val="0"/>
          <w:color w:val="000000"/>
          <w:position w:val="0"/>
          <w:sz w:val="20"/>
          <w:u w:val="none"/>
          <w:vertAlign w:val="baseline"/>
        </w:rPr>
        <w:t xml:space="preserve">The plaintiffs here allege that the reverse payment was quite large, including a $4 million upfront cash payment and approximately $120 million in guaranteed royalties over time even in the absence of co-promotion efforts—and that being in addition to the up-to-$2.5 million per year of payments for those co-promotion efforts, which the plaintiffs also suggest exceeds the value of the services. The defendants argue that even those sums are small in relation to the value of the patent. </w:t>
      </w:r>
      <w:bookmarkStart w:id="265" w:name="Bookmark_I5FNG9MH2HM69H0020000400_2"/>
      <w:bookmarkEnd w:id="265"/>
      <w:r>
        <w:rPr>
          <w:rFonts w:ascii="arial" w:eastAsia="arial" w:hAnsi="arial" w:cs="arial"/>
          <w:b w:val="0"/>
          <w:i w:val="0"/>
          <w:strike w:val="0"/>
          <w:noProof w:val="0"/>
          <w:color w:val="000000"/>
          <w:position w:val="0"/>
          <w:sz w:val="20"/>
          <w:u w:val="none"/>
          <w:vertAlign w:val="baseline"/>
        </w:rPr>
        <w:t xml:space="preserve">That relation, by the logic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may suggest confidence in the patent, but it does not mean that the alleged reverse payment is not "large." On the contrary, as the Supreme Court suggested in </w:t>
      </w:r>
      <w:bookmarkStart w:id="266" w:name="Bookmark_I5FNG9MH2HM69H0010000400"/>
      <w:bookmarkEnd w:id="266"/>
      <w:hyperlink r:id="rId61" w:history="1">
        <w:r>
          <w:rPr>
            <w:rFonts w:ascii="arial" w:eastAsia="arial" w:hAnsi="arial" w:cs="arial"/>
            <w:b w:val="0"/>
            <w:i/>
            <w:strike w:val="0"/>
            <w:noProof w:val="0"/>
            <w:color w:val="0077CC"/>
            <w:position w:val="0"/>
            <w:sz w:val="20"/>
            <w:u w:val="single"/>
            <w:vertAlign w:val="baseline"/>
          </w:rPr>
          <w:t>Actavis, id</w:t>
        </w:r>
      </w:hyperlink>
      <w:hyperlink r:id="rId61" w:history="1">
        <w:r>
          <w:rPr>
            <w:rFonts w:ascii="arial" w:eastAsia="arial" w:hAnsi="arial" w:cs="arial"/>
            <w:b w:val="0"/>
            <w:i/>
            <w:strike w:val="0"/>
            <w:noProof w:val="0"/>
            <w:color w:val="0077CC"/>
            <w:position w:val="0"/>
            <w:sz w:val="20"/>
            <w:u w:val="single"/>
            <w:vertAlign w:val="baseline"/>
          </w:rPr>
          <w:t>. at 2236—37</w:t>
        </w:r>
      </w:hyperlink>
      <w:r>
        <w:rPr>
          <w:rFonts w:ascii="arial" w:eastAsia="arial" w:hAnsi="arial" w:cs="arial"/>
          <w:b w:val="0"/>
          <w:i w:val="0"/>
          <w:strike w:val="0"/>
          <w:noProof w:val="0"/>
          <w:color w:val="000000"/>
          <w:position w:val="0"/>
          <w:sz w:val="20"/>
          <w:u w:val="none"/>
          <w:vertAlign w:val="baseline"/>
        </w:rPr>
        <w:t>, a patent-holder who has a high degree of confidence in a patent's strength may nevertheless be willing to share some portion of the monopoly profits in order to avoid even a small risk of invalidation if the patent is especially valuable, and even a small portion of the profits on an especially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valuable patent might indeed be quite large in absolute terms. I agree with the defendants that </w:t>
      </w:r>
      <w:bookmarkStart w:id="267" w:name="Bookmark_LNHNREFclscc8"/>
      <w:bookmarkEnd w:id="267"/>
      <w:hyperlink r:id="rId9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payments smaller than avoided litigation costs are presumptively not large and unexplained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represent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safe harbor, and also that payments exceeding avoided litigation costs are not automatically deemed unlawful for that reason alone. Even if the payments exceed avoided litigation costs,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factors—the size of the payments, their scale in relation to litigation costs, their independence from other services for which they might be fair consideration, and any other convincing justification—still matter. But I cannot conclude that the size of the reverse payments in relation to the anticipated value of the patent is dispositive of the lawfulness of the agreement. Large reverse payments that are not particularly large in relation to the value of the patent may show confidence in the patent, but if they represent payment </w:t>
      </w:r>
      <w:r>
        <w:rPr>
          <w:rFonts w:ascii="arial" w:eastAsia="arial" w:hAnsi="arial" w:cs="arial"/>
          <w:b w:val="0"/>
          <w:i/>
          <w:strike w:val="0"/>
          <w:noProof w:val="0"/>
          <w:color w:val="000000"/>
          <w:position w:val="0"/>
          <w:sz w:val="20"/>
          <w:u w:val="none"/>
          <w:vertAlign w:val="baseline"/>
        </w:rPr>
        <w:t>to avoid the risk of invalidation</w:t>
      </w:r>
      <w:r>
        <w:rPr>
          <w:rFonts w:ascii="arial" w:eastAsia="arial" w:hAnsi="arial" w:cs="arial"/>
          <w:b w:val="0"/>
          <w:i w:val="0"/>
          <w:strike w:val="0"/>
          <w:noProof w:val="0"/>
          <w:color w:val="000000"/>
          <w:position w:val="0"/>
          <w:sz w:val="20"/>
          <w:u w:val="none"/>
          <w:vertAlign w:val="baseline"/>
        </w:rPr>
        <w:t xml:space="preserve">, then they still run afoul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40"/>
      <w:bookmarkEnd w:id="268"/>
      <w:r>
        <w:rPr>
          <w:rFonts w:ascii="arial" w:eastAsia="arial" w:hAnsi="arial" w:cs="arial"/>
          <w:b w:val="0"/>
          <w:i w:val="0"/>
          <w:strike w:val="0"/>
          <w:noProof w:val="0"/>
          <w:color w:val="000000"/>
          <w:position w:val="0"/>
          <w:sz w:val="20"/>
          <w:u w:val="none"/>
          <w:vertAlign w:val="baseline"/>
        </w:rPr>
        <w:t>The plaintiffs allege that the total payment is far greater than the fair value of the services falling under the Co-Promotion Agreement, and therefore constitutes a large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unjustifiable reverse payment, which they allege is especially clear since payment is guaranteed even without the generation of additional sales. They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also allege that Boehringer agreed not to launch its own "authorized generic" during Barr's 180-day exclusivity period under the Hatch-Waxman Act, which further enlarged the reverse payment by constituting an additional unexplained transfer of value to Barr. The defendants dispute those allegations, and the sufficiency of the pleading, with several arguments: They argue that the Co-Promotion Agreement, as part of a complex transaction that settled litigation over two drugs, was somehow separate from the Aggrenox settlement, and that the plaintiffs have failed to sufficiently plead that it was made as consideration for that settlement (or they cannot so plead) because they argued in prior litigation that it was made as consideration for delaying generic entry of the other drug. They argue that the plaintiffs fail to plead with sufficient specificity the fair value of the services, the excess of the payments over that value, or in some other way the total value of the alleged reverse payment. And they argue that any agreement not to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introduce an authorized generic should not be considered part of a reverse payment because exclusive licenses are authorized by the Patent Act and are the kind of traditional form of settlement that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permits, or because they only result in "payment" in the form of affirmative sales, or because they are otherwise procompetitive insofar as they represent an increase in competition compared to what competition otherwise would have been under the patent. I find none of those arguments persuasive.</w:t>
      </w:r>
    </w:p>
    <w:p>
      <w:pPr>
        <w:keepNext w:val="0"/>
        <w:widowControl w:val="0"/>
        <w:spacing w:before="200" w:after="0" w:line="260" w:lineRule="atLeast"/>
        <w:ind w:left="0" w:right="0" w:firstLine="0"/>
        <w:jc w:val="both"/>
      </w:pPr>
      <w:bookmarkStart w:id="269" w:name="Bookmark_para_41"/>
      <w:bookmarkEnd w:id="269"/>
      <w:r>
        <w:rPr>
          <w:rFonts w:ascii="arial" w:eastAsia="arial" w:hAnsi="arial" w:cs="arial"/>
          <w:b w:val="0"/>
          <w:i w:val="0"/>
          <w:strike w:val="0"/>
          <w:noProof w:val="0"/>
          <w:color w:val="000000"/>
          <w:position w:val="0"/>
          <w:sz w:val="20"/>
          <w:u w:val="none"/>
          <w:vertAlign w:val="baseline"/>
        </w:rPr>
        <w:t>First, and quite notably, the defendants do not agree among themselves whether the challenged settlement agreement actually does prevent Boehringer from introducing an authorized generic: by Boehringer's interpretation, it does not; but by Barr's reckoning it does. That disagreement is consonant with the plaintiffs' theory: Barr (the alleged infringer, and would-be generic manufacturer) sees a "no—authorized generic" agreement as a thing of value it received in the settlement and wishes to preserve it in this litigation, while Boehringer (the patent-holder and brand-name manufacturer) sees such an agreement as a cost it prefers not to incur and would happily disclaim. I need not determine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now who is correct by ruling on the construction of the agreement, but the plaintiffs allege that there is such a provision and that it is very valuable, and at least on the latter point the defendants clearly agree.</w:t>
      </w:r>
    </w:p>
    <w:p>
      <w:pPr>
        <w:keepNext w:val="0"/>
        <w:widowControl w:val="0"/>
        <w:spacing w:before="200" w:after="0" w:line="260" w:lineRule="atLeast"/>
        <w:ind w:left="0" w:right="0" w:firstLine="0"/>
        <w:jc w:val="both"/>
      </w:pPr>
      <w:bookmarkStart w:id="270" w:name="Bookmark_para_42"/>
      <w:bookmarkEnd w:id="270"/>
      <w:bookmarkStart w:id="271" w:name="Bookmark_I4969FYPHN8000HF4VM0005V"/>
      <w:bookmarkEnd w:id="271"/>
      <w:bookmarkStart w:id="272" w:name="Bookmark_I4969FYPNGD000HF4VM0005W"/>
      <w:bookmarkEnd w:id="272"/>
      <w:bookmarkStart w:id="273" w:name="Bookmark_I5FNG9MH2HM69H0040000400"/>
      <w:bookmarkEnd w:id="273"/>
      <w:r>
        <w:rPr>
          <w:rFonts w:ascii="arial" w:eastAsia="arial" w:hAnsi="arial" w:cs="arial"/>
          <w:b w:val="0"/>
          <w:i w:val="0"/>
          <w:strike w:val="0"/>
          <w:noProof w:val="0"/>
          <w:color w:val="000000"/>
          <w:position w:val="0"/>
          <w:sz w:val="20"/>
          <w:u w:val="none"/>
          <w:vertAlign w:val="baseline"/>
        </w:rPr>
        <w:t xml:space="preserve">The defendants are correct that the plaintiffs have not attempted to assign dollar values with significant precision or very obvious methodological justification to the various provisions of the settlement, and that is among the stronger of the defendants' arguments. Some other courts interpreting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while holding that reverse "payments" are not limited to cash transfers, have observed the importance of the court's ability to calculate the value of any nonmonetary payments or have held that pleading an estimate of the total monetary value and a reliable foundation for that value are necessary to establish the plausibility required by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74" w:name="Bookmark_I5FNG9MH2HM69H0030000400"/>
      <w:bookmarkEnd w:id="274"/>
      <w:hyperlink r:id="rId71" w:history="1">
        <w:r>
          <w:rPr>
            <w:rFonts w:ascii="arial" w:eastAsia="arial" w:hAnsi="arial" w:cs="arial"/>
            <w:b w:val="0"/>
            <w:i/>
            <w:strike w:val="0"/>
            <w:noProof w:val="0"/>
            <w:color w:val="0077CC"/>
            <w:position w:val="0"/>
            <w:sz w:val="20"/>
            <w:u w:val="single"/>
            <w:vertAlign w:val="baseline"/>
          </w:rPr>
          <w:t xml:space="preserve">In re Effexor XR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No. 3:11-CV-5479 PGS,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w:t>
      </w:r>
      <w:bookmarkStart w:id="275" w:name="Bookmark_I5FNG9MH2HM69H0050000400"/>
      <w:bookmarkEnd w:id="275"/>
      <w:hyperlink r:id="rId92" w:history="1">
        <w:r>
          <w:rPr>
            <w:rFonts w:ascii="arial" w:eastAsia="arial" w:hAnsi="arial" w:cs="arial"/>
            <w:b w:val="0"/>
            <w:i/>
            <w:strike w:val="0"/>
            <w:noProof w:val="0"/>
            <w:color w:val="0077CC"/>
            <w:position w:val="0"/>
            <w:sz w:val="20"/>
            <w:u w:val="single"/>
            <w:vertAlign w:val="baseline"/>
          </w:rPr>
          <w:t xml:space="preserve">In re Lipitor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No. 3:12-CV-2389 PGS, 46 F. Supp. 3d 523, 2014 U.S. Dist. LEXIS 127877, 2014 WL 4543502 (D.N.J. Sept. 12,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While I share the concerns expressed by those courts, it is also clear that very precise and particularized estimates of fair value and anticipated litigation costs may require evidence in the exclusive possession of the defendants,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 well as expert analysis, and that these issues are sufficiently factual to require discovery. I cannot conclude simply from the absence of precise figures that the pleadings represent formulaic recitations of elements and allegations that fail to rise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above the speculative; on the contrary, the complaints make specific allegations about the terms of the settlement and their relative value that are plausible on their face. Whether the plaintiffs can substantiate those allegations may be an issue for summary judgment or trial, but for purposes of the motions to dismiss, I must accept the allegations as true and draw all reasonable inferences in the plaintiffs' favor. While doing that, I cannot conclude that the plaintiffs fail to sufficiently plead a large and unjustified reverse payment.</w:t>
      </w:r>
    </w:p>
    <w:p>
      <w:pPr>
        <w:keepNext w:val="0"/>
        <w:widowControl w:val="0"/>
        <w:spacing w:before="200" w:after="0" w:line="260" w:lineRule="atLeast"/>
        <w:ind w:left="0" w:right="0" w:firstLine="0"/>
        <w:jc w:val="both"/>
      </w:pPr>
      <w:bookmarkStart w:id="276" w:name="Bookmark_para_43"/>
      <w:bookmarkEnd w:id="276"/>
      <w:r>
        <w:rPr>
          <w:rFonts w:ascii="arial" w:eastAsia="arial" w:hAnsi="arial" w:cs="arial"/>
          <w:b w:val="0"/>
          <w:i w:val="0"/>
          <w:strike w:val="0"/>
          <w:noProof w:val="0"/>
          <w:color w:val="000000"/>
          <w:position w:val="0"/>
          <w:sz w:val="20"/>
          <w:u w:val="none"/>
          <w:vertAlign w:val="baseline"/>
        </w:rPr>
        <w:t xml:space="preserve">Nor are the allegations of a large and unjustified reverse payment undermined by the permissibility of exclusive licensing under the Patent Act or in settlements generally. The defendants are surely correct that patent holders may legally grant exclusive licenses and that the particular restraint on competition such agreements represent is an exception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prohibition and expressly permissible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by statute. That is not disputed. But such licenses can be worth money, and granting them can thus be the equivalent of transferring money. If some particular transfer of money would be unlawful—for whatever reason—its unlawfulness is not cured merely because the value is transferred in the form of exclusive licenses instead of cash, irrespective of whether the grant of an exclusive license would otherwise be valid. The statutory authority to grant exclusive licenses no more immunizes reverse-payment settlements that include them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than the statutory authority to use cash as legal tender immunizes reverse-payment settlements made in cash from such scrutiny. The issue is not whether the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of the payment was legal, but whether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of the payment was legal. The plaintiffs do not appear to allege that "no—authorized generic" agreements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nor that any individual feature of the settlement agreement would have necessarily constituted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part of some other agreement. Rather, they allege that Boehringer gave much more than it got in the settlement agreement; and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can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violation if it did so in order to avoid the risk of patent invalidation.</w:t>
      </w:r>
    </w:p>
    <w:p>
      <w:pPr>
        <w:keepNext w:val="0"/>
        <w:widowControl w:val="0"/>
        <w:spacing w:before="200" w:after="0" w:line="260" w:lineRule="atLeast"/>
        <w:ind w:left="0" w:right="0" w:firstLine="0"/>
        <w:jc w:val="both"/>
      </w:pPr>
      <w:bookmarkStart w:id="277" w:name="Bookmark_para_44"/>
      <w:bookmarkEnd w:id="277"/>
      <w:r>
        <w:rPr>
          <w:rFonts w:ascii="arial" w:eastAsia="arial" w:hAnsi="arial" w:cs="arial"/>
          <w:b w:val="0"/>
          <w:i w:val="0"/>
          <w:strike w:val="0"/>
          <w:noProof w:val="0"/>
          <w:color w:val="000000"/>
          <w:position w:val="0"/>
          <w:sz w:val="20"/>
          <w:u w:val="none"/>
          <w:vertAlign w:val="baseline"/>
        </w:rPr>
        <w:t xml:space="preserve">It may also be true that granting an exclusive licensing agreement is procompetitive relative to not granting it, but the anticompetitive harm described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not measured by the exclusionary scope of the patent—that test was explicitly rejected. The question is whether a large and unjustifiable reverse payment was made in order to avoid the risk of patent invalidation. If a settlement that grants an exclusive license violates the rule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it is not saved by comparison to the exclusionary scope of the unlicensed patent, or by the licensing arrangement being more competitive than a settlement agreement that lacked one.</w:t>
      </w:r>
    </w:p>
    <w:p>
      <w:pPr>
        <w:keepNext w:val="0"/>
        <w:widowControl w:val="0"/>
        <w:spacing w:before="200" w:after="0" w:line="260" w:lineRule="atLeast"/>
        <w:ind w:left="0" w:right="0" w:firstLine="0"/>
        <w:jc w:val="both"/>
      </w:pPr>
      <w:bookmarkStart w:id="278" w:name="Bookmark_para_45"/>
      <w:bookmarkEnd w:id="278"/>
      <w:bookmarkStart w:id="279" w:name="Bookmark_LNHNREFclscc9"/>
      <w:bookmarkEnd w:id="279"/>
      <w:hyperlink r:id="rId9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Rule-of-reason analysis proceeds in three steps:</w:t>
      </w:r>
    </w:p>
    <w:p>
      <w:pPr>
        <w:keepNext w:val="0"/>
        <w:widowControl w:val="0"/>
        <w:spacing w:before="200" w:after="0" w:line="260" w:lineRule="atLeast"/>
        <w:ind w:left="400" w:right="0" w:firstLine="0"/>
        <w:jc w:val="both"/>
      </w:pPr>
      <w:bookmarkStart w:id="280" w:name="Bookmark_para_46"/>
      <w:bookmarkEnd w:id="280"/>
      <w:r>
        <w:rPr>
          <w:rFonts w:ascii="arial" w:eastAsia="arial" w:hAnsi="arial" w:cs="arial"/>
          <w:b w:val="0"/>
          <w:i w:val="0"/>
          <w:strike w:val="0"/>
          <w:noProof w:val="0"/>
          <w:color w:val="000000"/>
          <w:position w:val="0"/>
          <w:sz w:val="20"/>
          <w:u w:val="none"/>
          <w:vertAlign w:val="baseline"/>
        </w:rPr>
        <w:t xml:space="preserve">First, the plaintiff bears the initial burden of showing that the defendant's conduct had an actual adverse effect on competition as a whole in the relevant market. </w:t>
      </w:r>
      <w:bookmarkStart w:id="281" w:name="Bookmark_I4969FYGCFV000HF4VM00045"/>
      <w:bookmarkEnd w:id="281"/>
      <w:bookmarkStart w:id="282" w:name="Bookmark_I5FNG9MH28T4BV0030000400"/>
      <w:bookmarkEnd w:id="282"/>
      <w:r>
        <w:rPr>
          <w:rFonts w:ascii="arial" w:eastAsia="arial" w:hAnsi="arial" w:cs="arial"/>
          <w:b w:val="0"/>
          <w:i w:val="0"/>
          <w:strike w:val="0"/>
          <w:noProof w:val="0"/>
          <w:color w:val="000000"/>
          <w:position w:val="0"/>
          <w:sz w:val="20"/>
          <w:u w:val="none"/>
          <w:vertAlign w:val="baseline"/>
        </w:rPr>
        <w:t>If plaintiff satisfies this burden, the burden then shifts to defendant to offer evidence that its conduct had procompetitive effects. If defendant is able to offer such proof, the burden shifts back to plaintiff, who must prove that any legitimate competitive effects could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have been achieved through less restrictive alternatives.</w:t>
      </w:r>
    </w:p>
    <w:p>
      <w:pPr>
        <w:keepNext w:val="0"/>
        <w:widowControl w:val="0"/>
        <w:spacing w:before="200" w:after="0" w:line="260" w:lineRule="atLeast"/>
        <w:ind w:left="0" w:right="0" w:firstLine="0"/>
        <w:jc w:val="both"/>
      </w:pPr>
      <w:bookmarkStart w:id="283" w:name="Bookmark_I5FNG9MH28T4BV0030000400_2"/>
      <w:bookmarkEnd w:id="283"/>
      <w:bookmarkStart w:id="284" w:name="Bookmark_I5FNG9MH28T4BV0020000400"/>
      <w:bookmarkEnd w:id="284"/>
      <w:hyperlink r:id="rId94" w:history="1">
        <w:r>
          <w:rPr>
            <w:rFonts w:ascii="arial" w:eastAsia="arial" w:hAnsi="arial" w:cs="arial"/>
            <w:b w:val="0"/>
            <w:i/>
            <w:strike w:val="0"/>
            <w:color w:val="0077CC"/>
            <w:sz w:val="20"/>
            <w:u w:val="single"/>
            <w:vertAlign w:val="baseline"/>
          </w:rPr>
          <w:t>Ark. Carpenters Health &amp; Welfare Fund v. Bayer AG</w:t>
        </w:r>
      </w:hyperlink>
      <w:hyperlink r:id="rId94" w:history="1">
        <w:r>
          <w:rPr>
            <w:rFonts w:ascii="arial" w:eastAsia="arial" w:hAnsi="arial" w:cs="arial"/>
            <w:b w:val="0"/>
            <w:i/>
            <w:strike w:val="0"/>
            <w:color w:val="0077CC"/>
            <w:sz w:val="20"/>
            <w:u w:val="single"/>
            <w:vertAlign w:val="baseline"/>
          </w:rPr>
          <w:t>, 604 F.3d 98, 104 (2d Cir. 2010)</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val="0"/>
          <w:strike w:val="0"/>
          <w:noProof w:val="0"/>
          <w:color w:val="000000"/>
          <w:position w:val="0"/>
          <w:sz w:val="20"/>
          <w:u w:val="none"/>
          <w:vertAlign w:val="baseline"/>
        </w:rPr>
        <w:t xml:space="preserve">In the present context of a motion to dismiss, the plaintiffs need only allege plausible facts that, if true, raise a reasonable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expectation that discovery will reveal sufficient evidence to prove their prima facie case. Under the treatment of reverse-payment settlements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they have done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Monopoly Power</w:t>
      </w:r>
    </w:p>
    <w:p>
      <w:pPr>
        <w:keepNext w:val="0"/>
        <w:widowControl w:val="0"/>
        <w:spacing w:before="200" w:after="0" w:line="260" w:lineRule="atLeast"/>
        <w:ind w:left="0" w:right="0" w:firstLine="0"/>
        <w:jc w:val="both"/>
      </w:pPr>
      <w:bookmarkStart w:id="285" w:name="Bookmark_para_47"/>
      <w:bookmarkEnd w:id="285"/>
      <w:r>
        <w:rPr>
          <w:rFonts w:ascii="arial" w:eastAsia="arial" w:hAnsi="arial" w:cs="arial"/>
          <w:b w:val="0"/>
          <w:i w:val="0"/>
          <w:strike w:val="0"/>
          <w:noProof w:val="0"/>
          <w:color w:val="000000"/>
          <w:position w:val="0"/>
          <w:sz w:val="20"/>
          <w:u w:val="none"/>
          <w:vertAlign w:val="baseline"/>
        </w:rPr>
        <w:t>The defendants argue that the plaintiffs fail to state a claim because they do not sufficiently define a relevant product market, and the single-product market of Aggrenox alone (or of Aggrenox and potential generics) is overly narrow. Because Aggrenox is prescribed to reduce the risk of stroke, they suggest Plavix—an FDA-approved antiplatelet therapy—as an example of a pharmaceutical that shares the market with Aggrenox. The presence of that drug, they argue, means that the defendants could maintain a monopoly on Aggrenox alone without having monopoly power within a market sufficient to be governed by the Sherman Act. The plaintiffs contend that a market of Aggrenox and Aggrenox generics is sufficiently defined, and moreover that they need not define a market, because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they plead actual detrimental effects, for which market power is merely a surrogate.</w:t>
      </w:r>
    </w:p>
    <w:p>
      <w:pPr>
        <w:keepNext w:val="0"/>
        <w:widowControl w:val="0"/>
        <w:spacing w:before="240" w:after="0" w:line="260" w:lineRule="atLeast"/>
        <w:ind w:left="0" w:right="0" w:firstLine="0"/>
        <w:jc w:val="both"/>
      </w:pPr>
      <w:bookmarkStart w:id="286" w:name="Bookmark_para_48"/>
      <w:bookmarkEnd w:id="286"/>
      <w:bookmarkStart w:id="287" w:name="Bookmark_LNHNREFclscc10"/>
      <w:bookmarkEnd w:id="287"/>
      <w:hyperlink r:id="rId9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288" w:name="Bookmark_I4969FYGN44000HF4VM00047"/>
      <w:bookmarkEnd w:id="288"/>
      <w:bookmarkStart w:id="289" w:name="Bookmark_I5FNG9MH28T4BV0050000400"/>
      <w:bookmarkEnd w:id="289"/>
      <w:bookmarkStart w:id="290" w:name="Bookmark_I4969FYGSY8000HF4VM00048"/>
      <w:bookmarkEnd w:id="290"/>
      <w:bookmarkStart w:id="291" w:name="Bookmark_I5FNG9MH28T4BW0040000400"/>
      <w:bookmarkEnd w:id="291"/>
      <w:r>
        <w:rPr>
          <w:rFonts w:ascii="arial" w:eastAsia="arial" w:hAnsi="arial" w:cs="arial"/>
          <w:b w:val="0"/>
          <w:i w:val="0"/>
          <w:strike w:val="0"/>
          <w:noProof w:val="0"/>
          <w:color w:val="000000"/>
          <w:position w:val="0"/>
          <w:sz w:val="20"/>
          <w:u w:val="none"/>
          <w:vertAlign w:val="baseline"/>
        </w:rPr>
        <w:t xml:space="preserve">Monopoly power is a necessary element of Sherman Act claims, </w:t>
      </w:r>
      <w:bookmarkStart w:id="292" w:name="Bookmark_I5FNG9MH28T4BV0040000400"/>
      <w:bookmarkEnd w:id="292"/>
      <w:hyperlink r:id="rId96" w:history="1">
        <w:r>
          <w:rPr>
            <w:rFonts w:ascii="arial" w:eastAsia="arial" w:hAnsi="arial" w:cs="arial"/>
            <w:b w:val="0"/>
            <w:i/>
            <w:strike w:val="0"/>
            <w:noProof w:val="0"/>
            <w:color w:val="0077CC"/>
            <w:position w:val="0"/>
            <w:sz w:val="20"/>
            <w:u w:val="single"/>
            <w:vertAlign w:val="baseline"/>
          </w:rPr>
          <w:t>United States v. Grinnell Corp</w:t>
        </w:r>
      </w:hyperlink>
      <w:hyperlink r:id="rId96" w:history="1">
        <w:r>
          <w:rPr>
            <w:rFonts w:ascii="arial" w:eastAsia="arial" w:hAnsi="arial" w:cs="arial"/>
            <w:b w:val="0"/>
            <w:i/>
            <w:strike w:val="0"/>
            <w:noProof w:val="0"/>
            <w:color w:val="0077CC"/>
            <w:position w:val="0"/>
            <w:sz w:val="20"/>
            <w:u w:val="single"/>
            <w:vertAlign w:val="baseline"/>
          </w:rPr>
          <w:t>., 384 U.S. 563, 570, 86 S. Ct. 1698, 16 L. Ed. 2d 778 (1966)</w:t>
        </w:r>
      </w:hyperlink>
      <w:r>
        <w:rPr>
          <w:rFonts w:ascii="arial" w:eastAsia="arial" w:hAnsi="arial" w:cs="arial"/>
          <w:b w:val="0"/>
          <w:i w:val="0"/>
          <w:strike w:val="0"/>
          <w:noProof w:val="0"/>
          <w:color w:val="000000"/>
          <w:position w:val="0"/>
          <w:sz w:val="20"/>
          <w:u w:val="none"/>
          <w:vertAlign w:val="baseline"/>
        </w:rPr>
        <w:t xml:space="preserve">, and the Supreme court has defined that power as "the power to control prices or exclude competition." </w:t>
      </w:r>
      <w:bookmarkStart w:id="293" w:name="Bookmark_I5FNG9MH28T4BW0010000400"/>
      <w:bookmarkEnd w:id="293"/>
      <w:hyperlink r:id="rId97"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97"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The plaintiffs are correct, however, that when direct evidence is available that a party profitably charges supracompetitive prices, the existence of market power can be established from that fact alone. </w:t>
      </w:r>
      <w:bookmarkStart w:id="294" w:name="Bookmark_I5FNG9MH28T4BW0030000400"/>
      <w:bookmarkEnd w:id="294"/>
      <w:hyperlink r:id="rId98" w:history="1">
        <w:r>
          <w:rPr>
            <w:rFonts w:ascii="arial" w:eastAsia="arial" w:hAnsi="arial" w:cs="arial"/>
            <w:b w:val="0"/>
            <w:i/>
            <w:strike w:val="0"/>
            <w:noProof w:val="0"/>
            <w:color w:val="0077CC"/>
            <w:position w:val="0"/>
            <w:sz w:val="20"/>
            <w:u w:val="single"/>
            <w:vertAlign w:val="baseline"/>
          </w:rPr>
          <w:t>Tops Markets, Inc. v. Quality Markets, Inc</w:t>
        </w:r>
      </w:hyperlink>
      <w:hyperlink r:id="rId98" w:history="1">
        <w:r>
          <w:rPr>
            <w:rFonts w:ascii="arial" w:eastAsia="arial" w:hAnsi="arial" w:cs="arial"/>
            <w:b w:val="0"/>
            <w:i/>
            <w:strike w:val="0"/>
            <w:noProof w:val="0"/>
            <w:color w:val="0077CC"/>
            <w:position w:val="0"/>
            <w:sz w:val="20"/>
            <w:u w:val="single"/>
            <w:vertAlign w:val="baseline"/>
          </w:rPr>
          <w:t>., 142 F.3d 90, 97-98 (2d Cir. 1998)</w:t>
        </w:r>
      </w:hyperlink>
      <w:r>
        <w:rPr>
          <w:rFonts w:ascii="arial" w:eastAsia="arial" w:hAnsi="arial" w:cs="arial"/>
          <w:b w:val="0"/>
          <w:i w:val="0"/>
          <w:strike w:val="0"/>
          <w:noProof w:val="0"/>
          <w:color w:val="000000"/>
          <w:position w:val="0"/>
          <w:sz w:val="20"/>
          <w:u w:val="none"/>
          <w:vertAlign w:val="baseline"/>
        </w:rPr>
        <w:t xml:space="preserve"> ("Monopoly power, also referred to as market power, is the power to control prices or exclude competition. </w:t>
      </w:r>
      <w:r>
        <w:rPr>
          <w:rFonts w:ascii="arial" w:eastAsia="arial" w:hAnsi="arial" w:cs="arial"/>
          <w:b w:val="0"/>
          <w:i w:val="0"/>
          <w:strike w:val="0"/>
          <w:noProof w:val="0"/>
          <w:color w:val="000000"/>
          <w:position w:val="0"/>
          <w:sz w:val="20"/>
          <w:u w:val="none"/>
          <w:vertAlign w:val="baseline"/>
        </w:rPr>
        <w:t>It may be proven directly by evidence of the control of prices or the exclusion of competition or it may be inferred from one firm's large percentage share of the relevant market.").</w:t>
      </w:r>
    </w:p>
    <w:p>
      <w:pPr>
        <w:keepNext w:val="0"/>
        <w:widowControl w:val="0"/>
        <w:spacing w:before="240" w:after="0" w:line="260" w:lineRule="atLeast"/>
        <w:ind w:left="0" w:right="0" w:firstLine="0"/>
        <w:jc w:val="both"/>
      </w:pPr>
      <w:bookmarkStart w:id="295" w:name="Bookmark_para_49"/>
      <w:bookmarkEnd w:id="295"/>
      <w:bookmarkStart w:id="296" w:name="Bookmark_I4969FYGXSD000HF4VM00049"/>
      <w:bookmarkEnd w:id="296"/>
      <w:bookmarkStart w:id="297" w:name="Bookmark_I5FNG9MH28T4BX0010000400"/>
      <w:bookmarkEnd w:id="297"/>
      <w:r>
        <w:rPr>
          <w:rFonts w:ascii="arial" w:eastAsia="arial" w:hAnsi="arial" w:cs="arial"/>
          <w:b w:val="0"/>
          <w:i w:val="0"/>
          <w:strike w:val="0"/>
          <w:noProof w:val="0"/>
          <w:color w:val="000000"/>
          <w:position w:val="0"/>
          <w:sz w:val="20"/>
          <w:u w:val="none"/>
          <w:vertAlign w:val="baseline"/>
        </w:rPr>
        <w:t xml:space="preserve">The market for prescription pharmaceuticals is an unusual one, in part because consumers are typically insulated at least to some degree from both cost (which is often largely covered by an insurance plan) and choice (which is at least limited and more likely substantially directed by the prescribing physician), so market features such as cost-sensitivity and elasticity of demand might therefore defy reasonable expectations. </w:t>
      </w:r>
      <w:bookmarkStart w:id="298" w:name="Bookmark_I5FNG9MH28T4BX0050000400"/>
      <w:bookmarkEnd w:id="298"/>
      <w:r>
        <w:rPr>
          <w:rFonts w:ascii="arial" w:eastAsia="arial" w:hAnsi="arial" w:cs="arial"/>
          <w:b w:val="0"/>
          <w:i w:val="0"/>
          <w:strike w:val="0"/>
          <w:noProof w:val="0"/>
          <w:color w:val="000000"/>
          <w:position w:val="0"/>
          <w:sz w:val="20"/>
          <w:u w:val="none"/>
          <w:vertAlign w:val="baseline"/>
        </w:rPr>
        <w:t xml:space="preserve">It is nevertheless true </w:t>
      </w:r>
      <w:bookmarkStart w:id="299" w:name="Bookmark_LNHNREFclscc11"/>
      <w:bookmarkEnd w:id="299"/>
      <w:hyperlink r:id="rId9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that "as a general rule, the process of defining the relevant product market requires consideration of cross-elasticity of demand," </w:t>
      </w:r>
      <w:bookmarkStart w:id="300" w:name="Bookmark_I5FNG9MH28T4BW0050000400"/>
      <w:bookmarkEnd w:id="300"/>
      <w:hyperlink r:id="rId100" w:history="1">
        <w:r>
          <w:rPr>
            <w:rFonts w:ascii="arial" w:eastAsia="arial" w:hAnsi="arial" w:cs="arial"/>
            <w:b w:val="0"/>
            <w:i/>
            <w:strike w:val="0"/>
            <w:noProof w:val="0"/>
            <w:color w:val="0077CC"/>
            <w:position w:val="0"/>
            <w:sz w:val="20"/>
            <w:u w:val="single"/>
            <w:vertAlign w:val="baseline"/>
          </w:rPr>
          <w:t>Hayden Pub. Co. v. Cox Broad. Corp</w:t>
        </w:r>
      </w:hyperlink>
      <w:hyperlink r:id="rId100" w:history="1">
        <w:r>
          <w:rPr>
            <w:rFonts w:ascii="arial" w:eastAsia="arial" w:hAnsi="arial" w:cs="arial"/>
            <w:b w:val="0"/>
            <w:i/>
            <w:strike w:val="0"/>
            <w:noProof w:val="0"/>
            <w:color w:val="0077CC"/>
            <w:position w:val="0"/>
            <w:sz w:val="20"/>
            <w:u w:val="single"/>
            <w:vertAlign w:val="baseline"/>
          </w:rPr>
          <w:t>., 730 F.2d 64, 71 (2d Cir. 1984)</w:t>
        </w:r>
      </w:hyperlink>
      <w:r>
        <w:rPr>
          <w:rFonts w:ascii="arial" w:eastAsia="arial" w:hAnsi="arial" w:cs="arial"/>
          <w:b w:val="0"/>
          <w:i w:val="0"/>
          <w:strike w:val="0"/>
          <w:noProof w:val="0"/>
          <w:color w:val="000000"/>
          <w:position w:val="0"/>
          <w:sz w:val="20"/>
          <w:u w:val="none"/>
          <w:vertAlign w:val="baseline"/>
        </w:rPr>
        <w:t xml:space="preserve">, because the boundaries of a particular product market are determined by "the reasonable interchangeability of use or the cross-elasticity of demand between the product itself and substitutes for it." </w:t>
      </w:r>
      <w:bookmarkStart w:id="301" w:name="Bookmark_I5FNG9MH28T4BX0020000400"/>
      <w:bookmarkEnd w:id="301"/>
      <w:hyperlink r:id="rId101" w:history="1">
        <w:r>
          <w:rPr>
            <w:rFonts w:ascii="arial" w:eastAsia="arial" w:hAnsi="arial" w:cs="arial"/>
            <w:b w:val="0"/>
            <w:i/>
            <w:strike w:val="0"/>
            <w:noProof w:val="0"/>
            <w:color w:val="0077CC"/>
            <w:position w:val="0"/>
            <w:sz w:val="20"/>
            <w:u w:val="single"/>
            <w:vertAlign w:val="baseline"/>
          </w:rPr>
          <w:t>Chapman v. New York State Div. for Youth</w:t>
        </w:r>
      </w:hyperlink>
      <w:hyperlink r:id="rId101" w:history="1">
        <w:r>
          <w:rPr>
            <w:rFonts w:ascii="arial" w:eastAsia="arial" w:hAnsi="arial" w:cs="arial"/>
            <w:b w:val="0"/>
            <w:i/>
            <w:strike w:val="0"/>
            <w:noProof w:val="0"/>
            <w:color w:val="0077CC"/>
            <w:position w:val="0"/>
            <w:sz w:val="20"/>
            <w:u w:val="single"/>
            <w:vertAlign w:val="baseline"/>
          </w:rPr>
          <w:t>, 546 F.3d 230, 237 (2d Cir. 2008)</w:t>
        </w:r>
      </w:hyperlink>
      <w:r>
        <w:rPr>
          <w:rFonts w:ascii="arial" w:eastAsia="arial" w:hAnsi="arial" w:cs="arial"/>
          <w:b w:val="0"/>
          <w:i w:val="0"/>
          <w:strike w:val="0"/>
          <w:noProof w:val="0"/>
          <w:color w:val="000000"/>
          <w:position w:val="0"/>
          <w:sz w:val="20"/>
          <w:u w:val="none"/>
          <w:vertAlign w:val="baseline"/>
        </w:rPr>
        <w:t xml:space="preserve">. </w:t>
      </w:r>
      <w:bookmarkStart w:id="302" w:name="Bookmark_I4969FYH2KJ000HF4VM0004B"/>
      <w:bookmarkEnd w:id="302"/>
      <w:bookmarkStart w:id="303" w:name="Bookmark_I5FNG9MH28T4BY0040000400"/>
      <w:bookmarkEnd w:id="303"/>
      <w:r>
        <w:rPr>
          <w:rFonts w:ascii="arial" w:eastAsia="arial" w:hAnsi="arial" w:cs="arial"/>
          <w:b w:val="0"/>
          <w:i w:val="0"/>
          <w:strike w:val="0"/>
          <w:noProof w:val="0"/>
          <w:color w:val="000000"/>
          <w:position w:val="0"/>
          <w:sz w:val="20"/>
          <w:u w:val="none"/>
          <w:vertAlign w:val="baseline"/>
        </w:rPr>
        <w:t xml:space="preserve">The plaintiffs allege that there is no such cross-elasticity of demand between Aggrenox and other drugs sufficient to define any broader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that because Boehringer is able to charge supracompetitive prices for Aggrenox without losing sales, it does not share a market defined by interchangeability. </w:t>
      </w:r>
      <w:bookmarkStart w:id="304" w:name="Bookmark_I5FNG9MH28T4BY0040000400_2"/>
      <w:bookmarkEnd w:id="304"/>
      <w:bookmarkStart w:id="305" w:name="Bookmark_I5FNG9MH28T4BX0050000400_2"/>
      <w:bookmarkEnd w:id="305"/>
      <w:bookmarkStart w:id="306" w:name="Bookmark_I4969FYH904000HF4VM0004D"/>
      <w:bookmarkEnd w:id="306"/>
      <w:bookmarkStart w:id="307" w:name="Bookmark_I5FNG9MH2HM69J0010000400"/>
      <w:bookmarkEnd w:id="307"/>
      <w:r>
        <w:rPr>
          <w:rFonts w:ascii="arial" w:eastAsia="arial" w:hAnsi="arial" w:cs="arial"/>
          <w:b w:val="0"/>
          <w:i w:val="0"/>
          <w:strike w:val="0"/>
          <w:noProof w:val="0"/>
          <w:color w:val="000000"/>
          <w:position w:val="0"/>
          <w:sz w:val="20"/>
          <w:u w:val="none"/>
          <w:vertAlign w:val="baseline"/>
        </w:rPr>
        <w:t xml:space="preserve">That is clearly a fact-intensive inquiry, and for that reason "courts hesitate to grant motions to dismiss for failure to plead a relevant product market." </w:t>
      </w:r>
      <w:bookmarkStart w:id="308" w:name="Bookmark_I5FNG9MH28T4BX0040000400"/>
      <w:bookmarkEnd w:id="308"/>
      <w:hyperlink r:id="rId102" w:history="1">
        <w:r>
          <w:rPr>
            <w:rFonts w:ascii="arial" w:eastAsia="arial" w:hAnsi="arial" w:cs="arial"/>
            <w:b w:val="0"/>
            <w:i/>
            <w:strike w:val="0"/>
            <w:noProof w:val="0"/>
            <w:color w:val="0077CC"/>
            <w:position w:val="0"/>
            <w:sz w:val="20"/>
            <w:u w:val="single"/>
            <w:vertAlign w:val="baseline"/>
          </w:rPr>
          <w:t>Todd v. Exxon Corp</w:t>
        </w:r>
      </w:hyperlink>
      <w:hyperlink r:id="rId102"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9" w:name="Bookmark_I5FNG9MH28T4BY0010000400"/>
      <w:bookmarkEnd w:id="309"/>
      <w:hyperlink r:id="rId100" w:history="1">
        <w:r>
          <w:rPr>
            <w:rFonts w:ascii="arial" w:eastAsia="arial" w:hAnsi="arial" w:cs="arial"/>
            <w:b w:val="0"/>
            <w:i/>
            <w:strike w:val="0"/>
            <w:noProof w:val="0"/>
            <w:color w:val="0077CC"/>
            <w:position w:val="0"/>
            <w:sz w:val="20"/>
            <w:u w:val="single"/>
            <w:vertAlign w:val="baseline"/>
          </w:rPr>
          <w:t>Hayden Pub. Co. v. Cox Broad. Corp</w:t>
        </w:r>
      </w:hyperlink>
      <w:hyperlink r:id="rId100" w:history="1">
        <w:r>
          <w:rPr>
            <w:rFonts w:ascii="arial" w:eastAsia="arial" w:hAnsi="arial" w:cs="arial"/>
            <w:b w:val="0"/>
            <w:i/>
            <w:strike w:val="0"/>
            <w:noProof w:val="0"/>
            <w:color w:val="0077CC"/>
            <w:position w:val="0"/>
            <w:sz w:val="20"/>
            <w:u w:val="single"/>
            <w:vertAlign w:val="baseline"/>
          </w:rPr>
          <w:t>., 730 F.2d 64, 70 n.8 (2d Cir. 1984)</w:t>
        </w:r>
      </w:hyperlink>
      <w:r>
        <w:rPr>
          <w:rFonts w:ascii="arial" w:eastAsia="arial" w:hAnsi="arial" w:cs="arial"/>
          <w:b w:val="0"/>
          <w:i w:val="0"/>
          <w:strike w:val="0"/>
          <w:noProof w:val="0"/>
          <w:color w:val="000000"/>
          <w:position w:val="0"/>
          <w:sz w:val="20"/>
          <w:u w:val="none"/>
          <w:vertAlign w:val="baseline"/>
        </w:rPr>
        <w:t xml:space="preserve"> ("It frequently has been observed that a pronouncement as to market definition is not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one of law, but of fact.") (quotation and citation omitted). </w:t>
      </w:r>
      <w:bookmarkStart w:id="310" w:name="Bookmark_I5FNG9MH2HM69J0010000400_2"/>
      <w:bookmarkEnd w:id="310"/>
      <w:r>
        <w:rPr>
          <w:rFonts w:ascii="arial" w:eastAsia="arial" w:hAnsi="arial" w:cs="arial"/>
          <w:b w:val="0"/>
          <w:i w:val="0"/>
          <w:strike w:val="0"/>
          <w:noProof w:val="0"/>
          <w:color w:val="000000"/>
          <w:position w:val="0"/>
          <w:sz w:val="20"/>
          <w:u w:val="none"/>
          <w:vertAlign w:val="baseline"/>
        </w:rPr>
        <w:t xml:space="preserve">The Supreme Court has been clear that market definitions can sometimes only be determined "after a factual inquiry into the commercial realities faced by consumers," </w:t>
      </w:r>
      <w:bookmarkStart w:id="311" w:name="Bookmark_I5FNG9MH28T4BY0030000400"/>
      <w:bookmarkEnd w:id="311"/>
      <w:hyperlink r:id="rId103"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103"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(quotation omitted), and that "in some instances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one brand of a product can constitute a separate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Perhaps because of the peculiar features of pharmaceutical markets, the Second Circuit has even held that the relevant market can sometimes be limited </w:t>
      </w:r>
      <w:r>
        <w:rPr>
          <w:rFonts w:ascii="arial" w:eastAsia="arial" w:hAnsi="arial" w:cs="arial"/>
          <w:b w:val="0"/>
          <w:i/>
          <w:strike w:val="0"/>
          <w:noProof w:val="0"/>
          <w:color w:val="000000"/>
          <w:position w:val="0"/>
          <w:sz w:val="20"/>
          <w:u w:val="none"/>
          <w:vertAlign w:val="baseline"/>
        </w:rPr>
        <w:t>to the generic</w:t>
      </w:r>
      <w:r>
        <w:rPr>
          <w:rFonts w:ascii="arial" w:eastAsia="arial" w:hAnsi="arial" w:cs="arial"/>
          <w:b w:val="0"/>
          <w:i w:val="0"/>
          <w:strike w:val="0"/>
          <w:noProof w:val="0"/>
          <w:color w:val="000000"/>
          <w:position w:val="0"/>
          <w:sz w:val="20"/>
          <w:u w:val="none"/>
          <w:vertAlign w:val="baseline"/>
        </w:rPr>
        <w:t xml:space="preserve"> of a particular drug, excluding the chemically-identical brand-name version. </w:t>
      </w:r>
      <w:bookmarkStart w:id="312" w:name="Bookmark_I5FNG9MH2HM69J0010000400_3"/>
      <w:bookmarkEnd w:id="312"/>
      <w:bookmarkStart w:id="313" w:name="Bookmark_I5FNG9MH28T4BY0050000400"/>
      <w:bookmarkEnd w:id="313"/>
      <w:hyperlink r:id="rId104" w:history="1">
        <w:r>
          <w:rPr>
            <w:rFonts w:ascii="arial" w:eastAsia="arial" w:hAnsi="arial" w:cs="arial"/>
            <w:b w:val="0"/>
            <w:i/>
            <w:strike w:val="0"/>
            <w:noProof w:val="0"/>
            <w:color w:val="0077CC"/>
            <w:position w:val="0"/>
            <w:sz w:val="20"/>
            <w:u w:val="single"/>
            <w:vertAlign w:val="baseline"/>
          </w:rPr>
          <w:t>Geneva Pharms. Tech. Corp. v. Barr Labs., Inc.</w:t>
        </w:r>
      </w:hyperlink>
      <w:hyperlink r:id="rId104" w:history="1">
        <w:r>
          <w:rPr>
            <w:rFonts w:ascii="arial" w:eastAsia="arial" w:hAnsi="arial" w:cs="arial"/>
            <w:b w:val="0"/>
            <w:i/>
            <w:strike w:val="0"/>
            <w:noProof w:val="0"/>
            <w:color w:val="0077CC"/>
            <w:position w:val="0"/>
            <w:sz w:val="20"/>
            <w:u w:val="single"/>
            <w:vertAlign w:val="baseline"/>
          </w:rPr>
          <w:t>., 386 F.3d 485, 496-500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50"/>
      <w:bookmarkEnd w:id="314"/>
      <w:r>
        <w:rPr>
          <w:rFonts w:ascii="arial" w:eastAsia="arial" w:hAnsi="arial" w:cs="arial"/>
          <w:b w:val="0"/>
          <w:i w:val="0"/>
          <w:strike w:val="0"/>
          <w:noProof w:val="0"/>
          <w:color w:val="000000"/>
          <w:position w:val="0"/>
          <w:sz w:val="20"/>
          <w:u w:val="none"/>
          <w:vertAlign w:val="baseline"/>
        </w:rPr>
        <w:t>The plaintiffs' allegations that Boehringer is able to charge supracompetitive prices for Aggrenox in a market with no cross-elasticity of demand with other drugs are highly plausible. If that were not the case, it is not clear why Boehringer would have sued to prevent entry of Barr's generic. The defendants are free to argue otherwise on an eventual summary judgment motion or at trial, but it is premature on a motion to dismiss for the court to make a more probing factual inquiry than that, and the defendants cannot persuasively argue that the complaints should be dismissed for failure to plead monopoly power within a sufficiently defined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Attempt and Conspiracy</w:t>
      </w:r>
    </w:p>
    <w:p>
      <w:pPr>
        <w:keepNext w:val="0"/>
        <w:widowControl w:val="0"/>
        <w:spacing w:before="200" w:after="0" w:line="260" w:lineRule="atLeast"/>
        <w:ind w:left="0" w:right="0" w:firstLine="0"/>
        <w:jc w:val="both"/>
      </w:pPr>
      <w:bookmarkStart w:id="315" w:name="Bookmark_para_51"/>
      <w:bookmarkEnd w:id="315"/>
      <w:r>
        <w:rPr>
          <w:rFonts w:ascii="arial" w:eastAsia="arial" w:hAnsi="arial" w:cs="arial"/>
          <w:b w:val="0"/>
          <w:i w:val="0"/>
          <w:strike w:val="0"/>
          <w:noProof w:val="0"/>
          <w:color w:val="000000"/>
          <w:position w:val="0"/>
          <w:sz w:val="20"/>
          <w:u w:val="none"/>
          <w:vertAlign w:val="baseline"/>
        </w:rPr>
        <w:t>Attempt and conspiracy to monopolize under the Sherman Act require specific intent to monopolize, and the defendants argue that the plaintiffs' pleading on intent amounts to mere recitation of the element. The facts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as alleged, the defendants argue, merely reflect an effort to enforce a valid patent and later to settle the litigation, which judicial policy favors; and even if the settlement agreement is unlawful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it was lawful under the Second Circuit "scope of the patent" test that was controlling at the time, so there can have been no unlawful intent. </w:t>
      </w:r>
      <w:bookmarkStart w:id="316" w:name="Bookmark_I4969FYHPFJ000HF4VM0004H"/>
      <w:bookmarkEnd w:id="316"/>
      <w:bookmarkStart w:id="317" w:name="Bookmark_I5FNG9MH2HM69J0030000400"/>
      <w:bookmarkEnd w:id="317"/>
      <w:r>
        <w:rPr>
          <w:rFonts w:ascii="arial" w:eastAsia="arial" w:hAnsi="arial" w:cs="arial"/>
          <w:b w:val="0"/>
          <w:i w:val="0"/>
          <w:strike w:val="0"/>
          <w:noProof w:val="0"/>
          <w:color w:val="000000"/>
          <w:position w:val="0"/>
          <w:sz w:val="20"/>
          <w:u w:val="none"/>
          <w:vertAlign w:val="baseline"/>
        </w:rPr>
        <w:t xml:space="preserve">The alleged anticompetitive conduct is described at length above, and I do not recite it again here; but the plaintiffs do plead an anticompetitive scheme in significant detail, as already discussed, and they allege that the scheme was intentional. Moreover, </w:t>
      </w:r>
      <w:bookmarkStart w:id="318" w:name="Bookmark_LNHNREFclscc12"/>
      <w:bookmarkEnd w:id="318"/>
      <w:hyperlink r:id="rId10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it is clearly the law in the Second Circuit that anticompetitive intent can be inferred from anticompetitive conduct. </w:t>
      </w:r>
      <w:bookmarkStart w:id="319" w:name="Bookmark_I5FNG9MH2HM69J0020000400"/>
      <w:bookmarkEnd w:id="319"/>
      <w:hyperlink r:id="rId106" w:history="1">
        <w:r>
          <w:rPr>
            <w:rFonts w:ascii="arial" w:eastAsia="arial" w:hAnsi="arial" w:cs="arial"/>
            <w:b w:val="0"/>
            <w:i/>
            <w:strike w:val="0"/>
            <w:noProof w:val="0"/>
            <w:color w:val="0077CC"/>
            <w:position w:val="0"/>
            <w:sz w:val="20"/>
            <w:u w:val="single"/>
            <w:vertAlign w:val="baseline"/>
          </w:rPr>
          <w:t>Volvo North America Corp. v. Men's Int'l. Prof'l Tennis Council</w:t>
        </w:r>
      </w:hyperlink>
      <w:hyperlink r:id="rId106" w:history="1">
        <w:r>
          <w:rPr>
            <w:rFonts w:ascii="arial" w:eastAsia="arial" w:hAnsi="arial" w:cs="arial"/>
            <w:b w:val="0"/>
            <w:i/>
            <w:strike w:val="0"/>
            <w:noProof w:val="0"/>
            <w:color w:val="0077CC"/>
            <w:position w:val="0"/>
            <w:sz w:val="20"/>
            <w:u w:val="single"/>
            <w:vertAlign w:val="baseline"/>
          </w:rPr>
          <w:t>, 857 F.2d 55, 74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defendants' argument that unlawful intent is precluded by the lawfulness of the agreement under the now-abrogated test used in the Second Circuit at the time the agreement was made is compelling as an argument from basic fairness; but the defendants offer no support for the suggestion that the necessary intent under federal law is intent to monopolize </w:t>
      </w:r>
      <w:r>
        <w:rPr>
          <w:rFonts w:ascii="arial" w:eastAsia="arial" w:hAnsi="arial" w:cs="arial"/>
          <w:b w:val="0"/>
          <w:i/>
          <w:strike w:val="0"/>
          <w:noProof w:val="0"/>
          <w:color w:val="000000"/>
          <w:position w:val="0"/>
          <w:sz w:val="20"/>
          <w:u w:val="none"/>
          <w:vertAlign w:val="baseline"/>
        </w:rPr>
        <w:t>unlawfully</w:t>
      </w:r>
      <w:r>
        <w:rPr>
          <w:rFonts w:ascii="arial" w:eastAsia="arial" w:hAnsi="arial" w:cs="arial"/>
          <w:b w:val="0"/>
          <w:i w:val="0"/>
          <w:strike w:val="0"/>
          <w:noProof w:val="0"/>
          <w:color w:val="000000"/>
          <w:position w:val="0"/>
          <w:sz w:val="20"/>
          <w:u w:val="none"/>
          <w:vertAlign w:val="baseline"/>
        </w:rPr>
        <w:t>, rather than merely intent to monopolize (perhaps with a good-faith belief that patent law or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some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exception provided safety from liability). If the settlement included a large and unjustified reverse payment that was made </w:t>
      </w:r>
      <w:r>
        <w:rPr>
          <w:rFonts w:ascii="arial" w:eastAsia="arial" w:hAnsi="arial" w:cs="arial"/>
          <w:b w:val="0"/>
          <w:i/>
          <w:strike w:val="0"/>
          <w:noProof w:val="0"/>
          <w:color w:val="000000"/>
          <w:position w:val="0"/>
          <w:sz w:val="20"/>
          <w:u w:val="none"/>
          <w:vertAlign w:val="baseline"/>
        </w:rPr>
        <w:t>in order</w:t>
      </w:r>
      <w:r>
        <w:rPr>
          <w:rFonts w:ascii="arial" w:eastAsia="arial" w:hAnsi="arial" w:cs="arial"/>
          <w:b w:val="0"/>
          <w:i w:val="0"/>
          <w:strike w:val="0"/>
          <w:noProof w:val="0"/>
          <w:color w:val="000000"/>
          <w:position w:val="0"/>
          <w:sz w:val="20"/>
          <w:u w:val="none"/>
          <w:vertAlign w:val="baseline"/>
        </w:rPr>
        <w:t xml:space="preserve"> to avoid the risk of patent invalidation, then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may attach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and that particular anticompetitive harm is necessarily intentional (even if intent is proved by inference). The defendants offer no authority to suggest that that analysis changes because they believed they were acting lawfully at the time under the Second Circuit's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State-Law Claims</w:t>
      </w:r>
    </w:p>
    <w:p>
      <w:pPr>
        <w:keepNext w:val="0"/>
        <w:widowControl w:val="0"/>
        <w:spacing w:before="200" w:after="0" w:line="260" w:lineRule="atLeast"/>
        <w:ind w:left="0" w:right="0" w:firstLine="0"/>
        <w:jc w:val="both"/>
      </w:pPr>
      <w:bookmarkStart w:id="320" w:name="Bookmark_para_52"/>
      <w:bookmarkEnd w:id="320"/>
      <w:bookmarkStart w:id="321" w:name="Bookmark_I4969FYHV8P000HF4VM0004J"/>
      <w:bookmarkEnd w:id="321"/>
      <w:bookmarkStart w:id="322" w:name="Bookmark_I4969FYHXV4000HF4VM0004K"/>
      <w:bookmarkEnd w:id="322"/>
      <w:bookmarkStart w:id="323" w:name="Bookmark_I5FNG9MH2HM69J0050000400"/>
      <w:bookmarkEnd w:id="323"/>
      <w:r>
        <w:rPr>
          <w:rFonts w:ascii="arial" w:eastAsia="arial" w:hAnsi="arial" w:cs="arial"/>
          <w:b w:val="0"/>
          <w:i w:val="0"/>
          <w:strike w:val="0"/>
          <w:noProof w:val="0"/>
          <w:color w:val="000000"/>
          <w:position w:val="0"/>
          <w:sz w:val="20"/>
          <w:u w:val="none"/>
          <w:vertAlign w:val="baseline"/>
        </w:rPr>
        <w:t xml:space="preserve">This case is rendered much more complicated by the rules of </w:t>
      </w:r>
      <w:bookmarkStart w:id="324" w:name="Bookmark_I5FNG9MH2HM69J0040000400"/>
      <w:bookmarkEnd w:id="324"/>
      <w:hyperlink r:id="rId107" w:history="1">
        <w:r>
          <w:rPr>
            <w:rFonts w:ascii="arial" w:eastAsia="arial" w:hAnsi="arial" w:cs="arial"/>
            <w:b w:val="0"/>
            <w:i/>
            <w:strike w:val="0"/>
            <w:noProof w:val="0"/>
            <w:color w:val="0077CC"/>
            <w:position w:val="0"/>
            <w:sz w:val="20"/>
            <w:u w:val="single"/>
            <w:vertAlign w:val="baseline"/>
          </w:rPr>
          <w:t>Illinois Brick Co. v. Illinois</w:t>
        </w:r>
      </w:hyperlink>
      <w:hyperlink r:id="rId107" w:history="1">
        <w:r>
          <w:rPr>
            <w:rFonts w:ascii="arial" w:eastAsia="arial" w:hAnsi="arial" w:cs="arial"/>
            <w:b w:val="0"/>
            <w:i/>
            <w:strike w:val="0"/>
            <w:noProof w:val="0"/>
            <w:color w:val="0077CC"/>
            <w:position w:val="0"/>
            <w:sz w:val="20"/>
            <w:u w:val="single"/>
            <w:vertAlign w:val="baseline"/>
          </w:rPr>
          <w:t xml:space="preserve">, 431 U.S. 720, 97 S. Ct. 2061, </w:t>
        </w:r>
      </w:hyperlink>
      <w:hyperlink r:id="rId107" w:history="1">
        <w:r>
          <w:rPr>
            <w:rFonts w:ascii="arial" w:eastAsia="arial" w:hAnsi="arial" w:cs="arial"/>
            <w:b/>
            <w:i/>
            <w:strike w:val="0"/>
            <w:noProof w:val="0"/>
            <w:color w:val="0077CC"/>
            <w:position w:val="0"/>
            <w:sz w:val="20"/>
            <w:u w:val="single"/>
            <w:vertAlign w:val="baseline"/>
          </w:rPr>
          <w:t> [*248] </w:t>
        </w:r>
      </w:hyperlink>
      <w:hyperlink r:id="rId107" w:history="1">
        <w:r>
          <w:rPr>
            <w:rFonts w:ascii="arial" w:eastAsia="arial" w:hAnsi="arial" w:cs="arial"/>
            <w:b w:val="0"/>
            <w:i/>
            <w:strike w:val="0"/>
            <w:noProof w:val="0"/>
            <w:color w:val="0077CC"/>
            <w:position w:val="0"/>
            <w:sz w:val="20"/>
            <w:u w:val="single"/>
            <w:vertAlign w:val="baseline"/>
          </w:rPr>
          <w:t xml:space="preserve"> 52 L. Ed. 2d 707 (1977)</w:t>
        </w:r>
      </w:hyperlink>
      <w:r>
        <w:rPr>
          <w:rFonts w:ascii="arial" w:eastAsia="arial" w:hAnsi="arial" w:cs="arial"/>
          <w:b w:val="0"/>
          <w:i w:val="0"/>
          <w:strike w:val="0"/>
          <w:noProof w:val="0"/>
          <w:color w:val="000000"/>
          <w:position w:val="0"/>
          <w:sz w:val="20"/>
          <w:u w:val="none"/>
          <w:vertAlign w:val="baseline"/>
        </w:rPr>
        <w:t xml:space="preserve">, and </w:t>
      </w:r>
      <w:bookmarkStart w:id="325" w:name="Bookmark_I5FNG9NG2D6NC90010000400"/>
      <w:bookmarkEnd w:id="325"/>
      <w:hyperlink r:id="rId108" w:history="1">
        <w:r>
          <w:rPr>
            <w:rFonts w:ascii="arial" w:eastAsia="arial" w:hAnsi="arial" w:cs="arial"/>
            <w:b w:val="0"/>
            <w:i/>
            <w:strike w:val="0"/>
            <w:noProof w:val="0"/>
            <w:color w:val="0077CC"/>
            <w:position w:val="0"/>
            <w:sz w:val="20"/>
            <w:u w:val="single"/>
            <w:vertAlign w:val="baseline"/>
          </w:rPr>
          <w:t>California v. ARC America Corp</w:t>
        </w:r>
      </w:hyperlink>
      <w:hyperlink r:id="rId108"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In the former case, the Supreme Court held that only the overcharged direct purchaser, and no one else in the chain of distribution, can recover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the latter, the Supreme Court held that that "indirect-purchaser rule" does not prevent indirect purchasers from recovering damages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the state laws otherwise allow it (and many states have passed so-called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repealers" in order to do so). Accordingly, the indirect purchaser complaint and the Humana complaint allege very many state-law claims; a few were withdrawn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 the opposition memoranda to the defendants' motions to dismiss, but what remains includes claims under the law of nearly every state (and Washington, D.C. and Puerto Rico), including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consumer-protection claims, and unjust-enrichment claims. </w:t>
      </w:r>
      <w:r>
        <w:rPr>
          <w:rFonts w:ascii="arial" w:eastAsia="arial" w:hAnsi="arial" w:cs="arial"/>
          <w:b w:val="0"/>
          <w:i w:val="0"/>
          <w:strike w:val="0"/>
          <w:noProof w:val="0"/>
          <w:color w:val="000000"/>
          <w:position w:val="0"/>
          <w:sz w:val="20"/>
          <w:u w:val="none"/>
          <w:vertAlign w:val="baseline"/>
        </w:rPr>
        <w:t>The defendants move that all be dismissed, for a variety of reasons that respectively apply to individual claims or to particular subgroups of them.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Statutes of Limitations</w:t>
      </w:r>
    </w:p>
    <w:p>
      <w:pPr>
        <w:keepNext w:val="0"/>
        <w:widowControl w:val="0"/>
        <w:spacing w:before="200" w:after="0" w:line="260" w:lineRule="atLeast"/>
        <w:ind w:left="0" w:right="0" w:firstLine="0"/>
        <w:jc w:val="both"/>
      </w:pPr>
      <w:bookmarkStart w:id="326" w:name="Bookmark_para_53"/>
      <w:bookmarkEnd w:id="326"/>
      <w:r>
        <w:rPr>
          <w:rFonts w:ascii="arial" w:eastAsia="arial" w:hAnsi="arial" w:cs="arial"/>
          <w:b w:val="0"/>
          <w:i w:val="0"/>
          <w:strike w:val="0"/>
          <w:noProof w:val="0"/>
          <w:color w:val="000000"/>
          <w:position w:val="0"/>
          <w:sz w:val="20"/>
          <w:u w:val="none"/>
          <w:vertAlign w:val="baseline"/>
        </w:rPr>
        <w:t xml:space="preserve">The plaintiffs' theories of liability under the multiplicity of state claims do not significantly differ in substance from the theory underlying the federal claims; the allegedly unlawful conduct is the very same, and the multistate pleading headache appears to be a simple consequence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's bar on indirect purchaser recovery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defendants argue that the claims are time-barred, but in most essentials they make common arguments that both state and federal claims are barred—the latter question has already been addressed above—and there is no argument that the analysis of the state statutes of limitations should differ materially from the federal one already discussed. The salient difference is just the number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years: the federal statute of limitations discussed above is four years, and the statutes of limitations under the state laws vary—mostly either three or four years, but some longer and some shorter. The defendants include several pages of tables that helpfully summarize that (and other) information as attachments to their memoranda in support of their motions to dismiss the indirect purchaser and Humana complaints (doc. # 152-1, pp. A-12 to A-16; doc. # 151-1, pp.A-15 to A-18). In the absence of any argument that the legislatures or courts of any particular states reject the reasoning in the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analysis above as it would apply to their particular statutes, I conclude that the same reasoning should apply, and that a new claim accrues with each alleged overcharge. Claims are therefore not time-barred that stem from alleged overcharges incurred within the relevant statutory period, whatever that period may be for a particular statute, measured backward from the filing of the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Fraudulent Concealment</w:t>
      </w:r>
    </w:p>
    <w:p>
      <w:pPr>
        <w:keepNext w:val="0"/>
        <w:widowControl w:val="0"/>
        <w:spacing w:before="200" w:after="0" w:line="260" w:lineRule="atLeast"/>
        <w:ind w:left="0" w:right="0" w:firstLine="0"/>
        <w:jc w:val="both"/>
      </w:pPr>
      <w:bookmarkStart w:id="327" w:name="Bookmark_para_54"/>
      <w:bookmarkEnd w:id="327"/>
      <w:bookmarkStart w:id="328" w:name="Bookmark_I4969FYJ2N8000HF4VM0004M"/>
      <w:bookmarkEnd w:id="328"/>
      <w:bookmarkStart w:id="329" w:name="Bookmark_I5FNG9NG2D6NC90040000400"/>
      <w:bookmarkEnd w:id="329"/>
      <w:r>
        <w:rPr>
          <w:rFonts w:ascii="arial" w:eastAsia="arial" w:hAnsi="arial" w:cs="arial"/>
          <w:b w:val="0"/>
          <w:i w:val="0"/>
          <w:strike w:val="0"/>
          <w:noProof w:val="0"/>
          <w:color w:val="000000"/>
          <w:position w:val="0"/>
          <w:sz w:val="20"/>
          <w:u w:val="none"/>
          <w:vertAlign w:val="baseline"/>
        </w:rPr>
        <w:t>The indirect purchasers and Humana both initially alleged fraudulent concealment, presumably to reach overcharges otherwise outside the applicable statute of limitations.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Partly in light of my ruling in </w:t>
      </w:r>
      <w:bookmarkStart w:id="330" w:name="Bookmark_I5FNG9NG2D6NC90030000400"/>
      <w:bookmarkEnd w:id="330"/>
      <w:hyperlink r:id="rId109" w:history="1">
        <w:r>
          <w:rPr>
            <w:rFonts w:ascii="arial" w:eastAsia="arial" w:hAnsi="arial" w:cs="arial"/>
            <w:b w:val="0"/>
            <w:i/>
            <w:strike w:val="0"/>
            <w:noProof w:val="0"/>
            <w:color w:val="0077CC"/>
            <w:position w:val="0"/>
            <w:sz w:val="20"/>
            <w:u w:val="single"/>
            <w:vertAlign w:val="baseline"/>
          </w:rPr>
          <w:t xml:space="preserve">In re Publication Paper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Litigation</w:t>
        </w:r>
      </w:hyperlink>
      <w:hyperlink r:id="rId109" w:history="1">
        <w:r>
          <w:rPr>
            <w:rFonts w:ascii="arial" w:eastAsia="arial" w:hAnsi="arial" w:cs="arial"/>
            <w:b w:val="0"/>
            <w:i/>
            <w:strike w:val="0"/>
            <w:noProof w:val="0"/>
            <w:color w:val="0077CC"/>
            <w:position w:val="0"/>
            <w:sz w:val="20"/>
            <w:u w:val="single"/>
            <w:vertAlign w:val="baseline"/>
          </w:rPr>
          <w:t>, No. 3:04-md-1631 (SRU), 2005 U.S. Dist. LEXIS 19896, 2005 WL 2175139 (D. Conn. Sept. 6, 2005)</w:t>
        </w:r>
      </w:hyperlink>
      <w:r>
        <w:rPr>
          <w:rFonts w:ascii="arial" w:eastAsia="arial" w:hAnsi="arial" w:cs="arial"/>
          <w:b w:val="0"/>
          <w:i w:val="0"/>
          <w:strike w:val="0"/>
          <w:noProof w:val="0"/>
          <w:color w:val="000000"/>
          <w:position w:val="0"/>
          <w:sz w:val="20"/>
          <w:u w:val="none"/>
          <w:vertAlign w:val="baseline"/>
        </w:rPr>
        <w:t xml:space="preserve">, the indirect purchasers dropped those allegations in their opposition brief (doc. # 182, p. 20 n.29), but Humana did not. Essentially for the reasons discussed in </w:t>
      </w:r>
      <w:r>
        <w:rPr>
          <w:rFonts w:ascii="arial" w:eastAsia="arial" w:hAnsi="arial" w:cs="arial"/>
          <w:b w:val="0"/>
          <w:i/>
          <w:strike w:val="0"/>
          <w:noProof w:val="0"/>
          <w:color w:val="000000"/>
          <w:position w:val="0"/>
          <w:sz w:val="20"/>
          <w:u w:val="none"/>
          <w:vertAlign w:val="baseline"/>
        </w:rPr>
        <w:t>Publication Paper</w:t>
      </w:r>
      <w:r>
        <w:rPr>
          <w:rFonts w:ascii="arial" w:eastAsia="arial" w:hAnsi="arial" w:cs="arial"/>
          <w:b w:val="0"/>
          <w:i w:val="0"/>
          <w:strike w:val="0"/>
          <w:noProof w:val="0"/>
          <w:color w:val="000000"/>
          <w:position w:val="0"/>
          <w:sz w:val="20"/>
          <w:u w:val="none"/>
          <w:vertAlign w:val="baseline"/>
        </w:rPr>
        <w:t>, I reject the argument that the statutes of limitations should be tolled because the defendants fraudulently concealed their allegedly unlawful conduct.</w:t>
      </w:r>
    </w:p>
    <w:p>
      <w:pPr>
        <w:keepNext w:val="0"/>
        <w:widowControl w:val="0"/>
        <w:spacing w:before="240" w:after="0" w:line="260" w:lineRule="atLeast"/>
        <w:ind w:left="0" w:right="0" w:firstLine="0"/>
        <w:jc w:val="both"/>
      </w:pPr>
      <w:bookmarkStart w:id="331" w:name="Bookmark_para_55"/>
      <w:bookmarkEnd w:id="331"/>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w:t>
      </w:r>
      <w:bookmarkStart w:id="332" w:name="Bookmark_LNHNREFclscc13"/>
      <w:bookmarkEnd w:id="332"/>
      <w:hyperlink r:id="rId11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333" w:name="Bookmark_I4969FYJ6GD000HF4VM0004N"/>
      <w:bookmarkEnd w:id="333"/>
      <w:bookmarkStart w:id="334" w:name="Bookmark_I5FNG9NY2SF8DJ0010000400"/>
      <w:bookmarkEnd w:id="334"/>
      <w:bookmarkStart w:id="335" w:name="Bookmark_I5FNG9NY2SF8DJ0030000400"/>
      <w:bookmarkEnd w:id="335"/>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prove fraudulent concealment sufficient to toll the running of the statute of limitations if he establishes (1) that the defendant concealed from him the existence of his cause of action, (2) that he remained in ignorance of that cause of action until some point within four years of the commencement of his action, and (3) that his continuing ignorance was not attributable to lack of diligence on his part." </w:t>
      </w:r>
      <w:bookmarkStart w:id="336" w:name="Bookmark_I5FNG9NG2D6NC90050000400"/>
      <w:bookmarkEnd w:id="336"/>
      <w:hyperlink r:id="rId111" w:history="1">
        <w:r>
          <w:rPr>
            <w:rFonts w:ascii="arial" w:eastAsia="arial" w:hAnsi="arial" w:cs="arial"/>
            <w:b w:val="0"/>
            <w:i/>
            <w:strike w:val="0"/>
            <w:noProof w:val="0"/>
            <w:color w:val="0077CC"/>
            <w:position w:val="0"/>
            <w:sz w:val="20"/>
            <w:u w:val="single"/>
            <w:vertAlign w:val="baseline"/>
          </w:rPr>
          <w:t>State of New York v. Hendrickson Bros. Inc</w:t>
        </w:r>
      </w:hyperlink>
      <w:hyperlink r:id="rId111"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Concealment can be shown in one of two ways: either by demonstrating that the defendant took affirmative steps to prevent discovery of the claim or injury, or by demonstrating that the violation itself was "self-concealing"—that is, by showing that it is the type of violation that by its very nature is designed to appear innocent,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essentially establishing fraud-by-omission. </w:t>
      </w:r>
      <w:bookmarkStart w:id="337" w:name="Bookmark_I5FNG9NY2SF8DJ0020000400"/>
      <w:bookmarkEnd w:id="337"/>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at 1083—84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a claim of fraud, the allegations that provide the factual basis for fraudulent concealment must meet </w:t>
      </w:r>
      <w:hyperlink r:id="rId3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w:t>
      </w:r>
    </w:p>
    <w:p>
      <w:pPr>
        <w:keepNext w:val="0"/>
        <w:widowControl w:val="0"/>
        <w:spacing w:before="200" w:after="0" w:line="260" w:lineRule="atLeast"/>
        <w:ind w:left="0" w:right="0" w:firstLine="0"/>
        <w:jc w:val="both"/>
      </w:pPr>
      <w:bookmarkStart w:id="338" w:name="Bookmark_para_56"/>
      <w:bookmarkEnd w:id="338"/>
      <w:r>
        <w:rPr>
          <w:rFonts w:ascii="arial" w:eastAsia="arial" w:hAnsi="arial" w:cs="arial"/>
          <w:b w:val="0"/>
          <w:i w:val="0"/>
          <w:strike w:val="0"/>
          <w:noProof w:val="0"/>
          <w:color w:val="000000"/>
          <w:position w:val="0"/>
          <w:sz w:val="20"/>
          <w:u w:val="none"/>
          <w:vertAlign w:val="baseline"/>
        </w:rPr>
        <w:t>Humana plausibly alleges that the defendants did not publicly disclose the precise terms of the challenged settlement or their associated dollar values—despite overtly publicizing the settlement in more general terms, and despite an FTC investigation and other litigation challenging the agreement—and that Humana did not know it contained a large and unexplained reverse payment. Those allegations do not rise to the level of deliberate concealment, and do not suggest a self-concealing violation; nor has Humana sufficiently pleaded its own diligence. In short, Humana has failed to meet its pleading burden for tolling the statute of limitations. For the reasons discussed above, tolling is unnecessary for claims of alleged overcharges incurred within the relevant statutory period measured backward from the filing date; but any claims for overcharges outside of that window are untimely, and they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Article III Standing</w:t>
      </w:r>
    </w:p>
    <w:p>
      <w:pPr>
        <w:keepNext w:val="0"/>
        <w:widowControl w:val="0"/>
        <w:spacing w:before="240" w:after="0" w:line="260" w:lineRule="atLeast"/>
        <w:ind w:left="0" w:right="0" w:firstLine="0"/>
        <w:jc w:val="both"/>
      </w:pPr>
      <w:bookmarkStart w:id="339" w:name="Bookmark_para_57"/>
      <w:bookmarkEnd w:id="339"/>
      <w:bookmarkStart w:id="340" w:name="Bookmark_I5FNG9NY2SF8DJ0050000400"/>
      <w:bookmarkEnd w:id="340"/>
      <w:r>
        <w:rPr>
          <w:rFonts w:ascii="arial" w:eastAsia="arial" w:hAnsi="arial" w:cs="arial"/>
          <w:b w:val="0"/>
          <w:i w:val="0"/>
          <w:strike w:val="0"/>
          <w:noProof w:val="0"/>
          <w:color w:val="000000"/>
          <w:position w:val="0"/>
          <w:sz w:val="20"/>
          <w:u w:val="none"/>
          <w:vertAlign w:val="baseline"/>
        </w:rPr>
        <w:t>The defendants argue that all indirect-purchaser claims under the laws of states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where the named indirect-purchaser plaintiffs do not allege they incurred overcharges must be dismissed for lack of standing. </w:t>
      </w:r>
      <w:bookmarkStart w:id="341" w:name="Bookmark_I5FNG9P528T4R00020000400"/>
      <w:bookmarkEnd w:id="341"/>
      <w:r>
        <w:rPr>
          <w:rFonts w:ascii="arial" w:eastAsia="arial" w:hAnsi="arial" w:cs="arial"/>
          <w:b w:val="0"/>
          <w:i w:val="0"/>
          <w:strike w:val="0"/>
          <w:noProof w:val="0"/>
          <w:color w:val="000000"/>
          <w:position w:val="0"/>
          <w:sz w:val="20"/>
          <w:u w:val="none"/>
          <w:vertAlign w:val="baseline"/>
        </w:rPr>
        <w:t xml:space="preserve">In making that argument, the defendants rely most heavily on </w:t>
      </w:r>
      <w:bookmarkStart w:id="342" w:name="Bookmark_I5FNG9NY2SF8DJ0040000400"/>
      <w:bookmarkEnd w:id="342"/>
      <w:hyperlink r:id="rId112" w:history="1">
        <w:r>
          <w:rPr>
            <w:rFonts w:ascii="arial" w:eastAsia="arial" w:hAnsi="arial" w:cs="arial"/>
            <w:b w:val="0"/>
            <w:i/>
            <w:strike w:val="0"/>
            <w:noProof w:val="0"/>
            <w:color w:val="0077CC"/>
            <w:position w:val="0"/>
            <w:sz w:val="20"/>
            <w:u w:val="single"/>
            <w:vertAlign w:val="baseline"/>
          </w:rPr>
          <w:t>Mahon v. Ticor Title Ins. Co</w:t>
        </w:r>
      </w:hyperlink>
      <w:hyperlink r:id="rId112" w:history="1">
        <w:r>
          <w:rPr>
            <w:rFonts w:ascii="arial" w:eastAsia="arial" w:hAnsi="arial" w:cs="arial"/>
            <w:b w:val="0"/>
            <w:i/>
            <w:strike w:val="0"/>
            <w:noProof w:val="0"/>
            <w:color w:val="0077CC"/>
            <w:position w:val="0"/>
            <w:sz w:val="20"/>
            <w:u w:val="single"/>
            <w:vertAlign w:val="baseline"/>
          </w:rPr>
          <w:t>., 683 F.3d 59 (2d Cir. 2012)</w:t>
        </w:r>
      </w:hyperlink>
      <w:r>
        <w:rPr>
          <w:rFonts w:ascii="arial" w:eastAsia="arial" w:hAnsi="arial" w:cs="arial"/>
          <w:b w:val="0"/>
          <w:i w:val="0"/>
          <w:strike w:val="0"/>
          <w:noProof w:val="0"/>
          <w:color w:val="000000"/>
          <w:position w:val="0"/>
          <w:sz w:val="20"/>
          <w:u w:val="none"/>
          <w:vertAlign w:val="baseline"/>
        </w:rPr>
        <w:t xml:space="preserve">. The indirect purchasers disagree, contending that the defendants confuse Article III standing with "class" standing. </w:t>
      </w:r>
      <w:bookmarkStart w:id="343" w:name="Bookmark_I5FNG9P528T4R00020000400_2"/>
      <w:bookmarkEnd w:id="343"/>
      <w:bookmarkStart w:id="344" w:name="Bookmark_I4969FYJB9J000HF4VM0004P"/>
      <w:bookmarkEnd w:id="344"/>
      <w:bookmarkStart w:id="345" w:name="Bookmark_I5FNG9P52N1PPB0010000400"/>
      <w:bookmarkEnd w:id="345"/>
      <w:r>
        <w:rPr>
          <w:rFonts w:ascii="arial" w:eastAsia="arial" w:hAnsi="arial" w:cs="arial"/>
          <w:b w:val="0"/>
          <w:i w:val="0"/>
          <w:strike w:val="0"/>
          <w:noProof w:val="0"/>
          <w:color w:val="000000"/>
          <w:position w:val="0"/>
          <w:sz w:val="20"/>
          <w:u w:val="none"/>
          <w:vertAlign w:val="baseline"/>
        </w:rPr>
        <w:t xml:space="preserve">They rely most heavily on </w:t>
      </w:r>
      <w:bookmarkStart w:id="346" w:name="Bookmark_I5FNG9P528T4R00010000400"/>
      <w:bookmarkEnd w:id="346"/>
      <w:hyperlink r:id="rId113" w:history="1">
        <w:r>
          <w:rPr>
            <w:rFonts w:ascii="arial" w:eastAsia="arial" w:hAnsi="arial" w:cs="arial"/>
            <w:b w:val="0"/>
            <w:i/>
            <w:strike w:val="0"/>
            <w:noProof w:val="0"/>
            <w:color w:val="0077CC"/>
            <w:position w:val="0"/>
            <w:sz w:val="20"/>
            <w:u w:val="single"/>
            <w:vertAlign w:val="baseline"/>
          </w:rPr>
          <w:t>Gratz v. Bollinger</w:t>
        </w:r>
      </w:hyperlink>
      <w:hyperlink r:id="rId113" w:history="1">
        <w:r>
          <w:rPr>
            <w:rFonts w:ascii="arial" w:eastAsia="arial" w:hAnsi="arial" w:cs="arial"/>
            <w:b w:val="0"/>
            <w:i/>
            <w:strike w:val="0"/>
            <w:noProof w:val="0"/>
            <w:color w:val="0077CC"/>
            <w:position w:val="0"/>
            <w:sz w:val="20"/>
            <w:u w:val="single"/>
            <w:vertAlign w:val="baseline"/>
          </w:rPr>
          <w:t>, 539 U.S. 244, 123 S. Ct. 2411, 156 L. Ed. 2d 257 (2003)</w:t>
        </w:r>
      </w:hyperlink>
      <w:r>
        <w:rPr>
          <w:rFonts w:ascii="arial" w:eastAsia="arial" w:hAnsi="arial" w:cs="arial"/>
          <w:b w:val="0"/>
          <w:i w:val="0"/>
          <w:strike w:val="0"/>
          <w:noProof w:val="0"/>
          <w:color w:val="000000"/>
          <w:position w:val="0"/>
          <w:sz w:val="20"/>
          <w:u w:val="none"/>
          <w:vertAlign w:val="baseline"/>
        </w:rPr>
        <w:t xml:space="preserve">, and </w:t>
      </w:r>
      <w:bookmarkStart w:id="347" w:name="Bookmark_I5FNG9P528T4R00030000400"/>
      <w:bookmarkEnd w:id="347"/>
      <w:hyperlink r:id="rId114" w:history="1">
        <w:r>
          <w:rPr>
            <w:rFonts w:ascii="arial" w:eastAsia="arial" w:hAnsi="arial" w:cs="arial"/>
            <w:b w:val="0"/>
            <w:i/>
            <w:strike w:val="0"/>
            <w:noProof w:val="0"/>
            <w:color w:val="0077CC"/>
            <w:position w:val="0"/>
            <w:sz w:val="20"/>
            <w:u w:val="single"/>
            <w:vertAlign w:val="baseline"/>
          </w:rPr>
          <w:t>NECA-IBEW Health and Welfare Fund v. Goldman Sachs &amp; Co</w:t>
        </w:r>
      </w:hyperlink>
      <w:hyperlink r:id="rId114" w:history="1">
        <w:r>
          <w:rPr>
            <w:rFonts w:ascii="arial" w:eastAsia="arial" w:hAnsi="arial" w:cs="arial"/>
            <w:b w:val="0"/>
            <w:i/>
            <w:strike w:val="0"/>
            <w:noProof w:val="0"/>
            <w:color w:val="0077CC"/>
            <w:position w:val="0"/>
            <w:sz w:val="20"/>
            <w:u w:val="single"/>
            <w:vertAlign w:val="baseline"/>
          </w:rPr>
          <w:t>., 693 F.3d 145 (2d Cir. 2012)</w:t>
        </w:r>
      </w:hyperlink>
      <w:r>
        <w:rPr>
          <w:rFonts w:ascii="arial" w:eastAsia="arial" w:hAnsi="arial" w:cs="arial"/>
          <w:b w:val="0"/>
          <w:i w:val="0"/>
          <w:strike w:val="0"/>
          <w:noProof w:val="0"/>
          <w:color w:val="000000"/>
          <w:position w:val="0"/>
          <w:sz w:val="20"/>
          <w:u w:val="none"/>
          <w:vertAlign w:val="baseline"/>
        </w:rPr>
        <w:t xml:space="preserve">. </w:t>
      </w:r>
      <w:bookmarkStart w:id="348" w:name="Bookmark_I5FNG9P52N1PPB0010000400_2"/>
      <w:bookmarkEnd w:id="348"/>
      <w:r>
        <w:rPr>
          <w:rFonts w:ascii="arial" w:eastAsia="arial" w:hAnsi="arial" w:cs="arial"/>
          <w:b w:val="0"/>
          <w:i w:val="0"/>
          <w:strike w:val="0"/>
          <w:noProof w:val="0"/>
          <w:color w:val="000000"/>
          <w:position w:val="0"/>
          <w:sz w:val="20"/>
          <w:u w:val="none"/>
          <w:vertAlign w:val="baseline"/>
        </w:rPr>
        <w:t xml:space="preserve">Both sides are manifestly mistaken in their assertions that this is a straightforward question with an obvious answer. </w:t>
      </w:r>
      <w:bookmarkStart w:id="349" w:name="Bookmark_LNHNREFclscc14"/>
      <w:bookmarkEnd w:id="349"/>
      <w:hyperlink r:id="rId11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Supreme Court acknowledged in </w:t>
      </w:r>
      <w:r>
        <w:rPr>
          <w:rFonts w:ascii="arial" w:eastAsia="arial" w:hAnsi="arial" w:cs="arial"/>
          <w:b w:val="0"/>
          <w:i/>
          <w:strike w:val="0"/>
          <w:noProof w:val="0"/>
          <w:color w:val="000000"/>
          <w:position w:val="0"/>
          <w:sz w:val="20"/>
          <w:u w:val="none"/>
          <w:vertAlign w:val="baseline"/>
        </w:rPr>
        <w:t>Gratz</w:t>
      </w:r>
      <w:r>
        <w:rPr>
          <w:rFonts w:ascii="arial" w:eastAsia="arial" w:hAnsi="arial" w:cs="arial"/>
          <w:b w:val="0"/>
          <w:i w:val="0"/>
          <w:strike w:val="0"/>
          <w:noProof w:val="0"/>
          <w:color w:val="000000"/>
          <w:position w:val="0"/>
          <w:sz w:val="20"/>
          <w:u w:val="none"/>
          <w:vertAlign w:val="baseline"/>
        </w:rPr>
        <w:t xml:space="preserve"> that when there is "variation" between the claims of named plaintiffs and absent class members, "there is a question whether the relevance of this variation . . . is a matter of Article III standing at all or whether it goes to the propriety of class certification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w:t>
      </w:r>
      <w:bookmarkStart w:id="350" w:name="Bookmark_I5FNG9P528T4R00050000400"/>
      <w:bookmarkEnd w:id="350"/>
      <w:hyperlink r:id="rId113" w:history="1">
        <w:r>
          <w:rPr>
            <w:rFonts w:ascii="arial" w:eastAsia="arial" w:hAnsi="arial" w:cs="arial"/>
            <w:b w:val="0"/>
            <w:i/>
            <w:strike w:val="0"/>
            <w:noProof w:val="0"/>
            <w:color w:val="0077CC"/>
            <w:position w:val="0"/>
            <w:sz w:val="20"/>
            <w:u w:val="single"/>
            <w:vertAlign w:val="baseline"/>
          </w:rPr>
          <w:t>539 U.S. at 263</w:t>
        </w:r>
      </w:hyperlink>
      <w:r>
        <w:rPr>
          <w:rFonts w:ascii="arial" w:eastAsia="arial" w:hAnsi="arial" w:cs="arial"/>
          <w:b w:val="0"/>
          <w:i w:val="0"/>
          <w:strike w:val="0"/>
          <w:noProof w:val="0"/>
          <w:color w:val="000000"/>
          <w:position w:val="0"/>
          <w:sz w:val="20"/>
          <w:u w:val="none"/>
          <w:vertAlign w:val="baseline"/>
        </w:rPr>
        <w:t xml:space="preserve">, and that "there is tension in our prior cases in this regard." </w:t>
      </w:r>
      <w:bookmarkStart w:id="351" w:name="Bookmark_I5FNG9P52N1PPB0020000400"/>
      <w:bookmarkEnd w:id="351"/>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263 n.15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2" w:name="Bookmark_I5FNG9P52N1PPB0040000400"/>
      <w:bookmarkEnd w:id="352"/>
      <w:hyperlink r:id="rId116" w:history="1">
        <w:r>
          <w:rPr>
            <w:rFonts w:ascii="arial" w:eastAsia="arial" w:hAnsi="arial" w:cs="arial"/>
            <w:b w:val="0"/>
            <w:i/>
            <w:strike w:val="0"/>
            <w:noProof w:val="0"/>
            <w:color w:val="0077CC"/>
            <w:position w:val="0"/>
            <w:sz w:val="20"/>
            <w:u w:val="single"/>
            <w:vertAlign w:val="baseline"/>
          </w:rPr>
          <w:t>Plumbers' Union Local No. 12 Pension Fund v. Nomura Asset Acceptance Corp</w:t>
        </w:r>
      </w:hyperlink>
      <w:hyperlink r:id="rId116" w:history="1">
        <w:r>
          <w:rPr>
            <w:rFonts w:ascii="arial" w:eastAsia="arial" w:hAnsi="arial" w:cs="arial"/>
            <w:b w:val="0"/>
            <w:i/>
            <w:strike w:val="0"/>
            <w:noProof w:val="0"/>
            <w:color w:val="0077CC"/>
            <w:position w:val="0"/>
            <w:sz w:val="20"/>
            <w:u w:val="single"/>
            <w:vertAlign w:val="baseline"/>
          </w:rPr>
          <w:t>., 632 F.3d 762, 768 (1st Cir. 2011)</w:t>
        </w:r>
      </w:hyperlink>
      <w:r>
        <w:rPr>
          <w:rFonts w:ascii="arial" w:eastAsia="arial" w:hAnsi="arial" w:cs="arial"/>
          <w:b w:val="0"/>
          <w:i w:val="0"/>
          <w:strike w:val="0"/>
          <w:noProof w:val="0"/>
          <w:color w:val="000000"/>
          <w:position w:val="0"/>
          <w:sz w:val="20"/>
          <w:u w:val="none"/>
          <w:vertAlign w:val="baseline"/>
        </w:rPr>
        <w:t xml:space="preserve"> ("The issue looks straightforward and one would expect it to be well settled; neither assumption is entirely true.").</w:t>
      </w:r>
    </w:p>
    <w:p>
      <w:pPr>
        <w:keepNext w:val="0"/>
        <w:widowControl w:val="0"/>
        <w:spacing w:before="200" w:after="0" w:line="260" w:lineRule="atLeast"/>
        <w:ind w:left="0" w:right="0" w:firstLine="0"/>
        <w:jc w:val="both"/>
      </w:pPr>
      <w:bookmarkStart w:id="353" w:name="Bookmark_para_58"/>
      <w:bookmarkEnd w:id="353"/>
      <w:r>
        <w:rPr>
          <w:rFonts w:ascii="arial" w:eastAsia="arial" w:hAnsi="arial" w:cs="arial"/>
          <w:b w:val="0"/>
          <w:i w:val="0"/>
          <w:strike w:val="0"/>
          <w:noProof w:val="0"/>
          <w:color w:val="000000"/>
          <w:position w:val="0"/>
          <w:sz w:val="20"/>
          <w:u w:val="none"/>
          <w:vertAlign w:val="baseline"/>
        </w:rPr>
        <w:t xml:space="preserve">The central question on this issue is what sort of "variation" matters. </w:t>
      </w:r>
      <w:bookmarkStart w:id="354" w:name="Bookmark_I4969FYJKYV000HF4VM0004S"/>
      <w:bookmarkEnd w:id="354"/>
      <w:bookmarkStart w:id="355" w:name="Bookmark_I5FNG9P728T4RY0020000400"/>
      <w:bookmarkEnd w:id="355"/>
      <w:r>
        <w:rPr>
          <w:rFonts w:ascii="arial" w:eastAsia="arial" w:hAnsi="arial" w:cs="arial"/>
          <w:b w:val="0"/>
          <w:i w:val="0"/>
          <w:strike w:val="0"/>
          <w:noProof w:val="0"/>
          <w:color w:val="000000"/>
          <w:position w:val="0"/>
          <w:sz w:val="20"/>
          <w:u w:val="none"/>
          <w:vertAlign w:val="baseline"/>
        </w:rPr>
        <w:t xml:space="preserve">Some kinds of variation are not fatal to Article III standing, and some kinds are. The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defendants point out that in virtually all of the cases relied upon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by the indirect purchasers, including </w:t>
      </w:r>
      <w:r>
        <w:rPr>
          <w:rFonts w:ascii="arial" w:eastAsia="arial" w:hAnsi="arial" w:cs="arial"/>
          <w:b w:val="0"/>
          <w:i/>
          <w:strike w:val="0"/>
          <w:noProof w:val="0"/>
          <w:color w:val="000000"/>
          <w:position w:val="0"/>
          <w:sz w:val="20"/>
          <w:u w:val="none"/>
          <w:vertAlign w:val="baseline"/>
        </w:rPr>
        <w:t>Gratz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NECA-IBEW</w:t>
      </w:r>
      <w:r>
        <w:rPr>
          <w:rFonts w:ascii="arial" w:eastAsia="arial" w:hAnsi="arial" w:cs="arial"/>
          <w:b w:val="0"/>
          <w:i w:val="0"/>
          <w:strike w:val="0"/>
          <w:noProof w:val="0"/>
          <w:color w:val="000000"/>
          <w:position w:val="0"/>
          <w:sz w:val="20"/>
          <w:u w:val="none"/>
          <w:vertAlign w:val="baseline"/>
        </w:rPr>
        <w:t xml:space="preserve">, the variation between the respective claims of named plaintiffs and absent class members is variation of damages or of other facts, but not of the law under which the claims are brought. On the other side, the indirect purchasers point out that the cases relied upon by the defendants examine different and arguably more significant variation in claims than present here, most notably a variation of defendants. The question before the Second Circuit in </w:t>
      </w:r>
      <w:r>
        <w:rPr>
          <w:rFonts w:ascii="arial" w:eastAsia="arial" w:hAnsi="arial" w:cs="arial"/>
          <w:b w:val="0"/>
          <w:i/>
          <w:strike w:val="0"/>
          <w:noProof w:val="0"/>
          <w:color w:val="000000"/>
          <w:position w:val="0"/>
          <w:sz w:val="20"/>
          <w:u w:val="none"/>
          <w:vertAlign w:val="baseline"/>
        </w:rPr>
        <w:t>Mahon</w:t>
      </w:r>
      <w:r>
        <w:rPr>
          <w:rFonts w:ascii="arial" w:eastAsia="arial" w:hAnsi="arial" w:cs="arial"/>
          <w:b w:val="0"/>
          <w:i w:val="0"/>
          <w:strike w:val="0"/>
          <w:noProof w:val="0"/>
          <w:color w:val="000000"/>
          <w:position w:val="0"/>
          <w:sz w:val="20"/>
          <w:u w:val="none"/>
          <w:vertAlign w:val="baseline"/>
        </w:rPr>
        <w:t xml:space="preserve"> was whether a plaintiff who alleged she was injured by at least one defendant therefore had Article III standing to pursue claims in a putative class action against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defendants she did not allege injured her but who allegedly did injure absent class members (the Court held that she did not). </w:t>
      </w:r>
      <w:bookmarkStart w:id="356" w:name="Bookmark_I5FNG9P728T4RY0010000400"/>
      <w:bookmarkEnd w:id="356"/>
      <w:hyperlink r:id="rId112" w:history="1">
        <w:r>
          <w:rPr>
            <w:rFonts w:ascii="arial" w:eastAsia="arial" w:hAnsi="arial" w:cs="arial"/>
            <w:b w:val="0"/>
            <w:i/>
            <w:strike w:val="0"/>
            <w:noProof w:val="0"/>
            <w:color w:val="0077CC"/>
            <w:position w:val="0"/>
            <w:sz w:val="20"/>
            <w:u w:val="single"/>
            <w:vertAlign w:val="baseline"/>
          </w:rPr>
          <w:t>683 F.3d at 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variation is of quite a different sort. Some of the claims of absent class members are brought under entirely different laws, and the laws of entirely different states, from the claims of the named plaintiffs. Still, the allegedly unlawful conduct is the same, and the different states' laws are versions of the same laws, or are least analogous laws that share essential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similarities.</w:t>
      </w:r>
    </w:p>
    <w:p>
      <w:pPr>
        <w:keepNext w:val="0"/>
        <w:widowControl w:val="0"/>
        <w:spacing w:before="240" w:after="0" w:line="260" w:lineRule="atLeast"/>
        <w:ind w:left="0" w:right="0" w:firstLine="0"/>
        <w:jc w:val="both"/>
      </w:pPr>
      <w:bookmarkStart w:id="357" w:name="Bookmark_para_59"/>
      <w:bookmarkEnd w:id="357"/>
      <w:bookmarkStart w:id="358" w:name="Bookmark_I4969FYRK0P000HF4VM00064"/>
      <w:bookmarkEnd w:id="358"/>
      <w:bookmarkStart w:id="359" w:name="Bookmark_I5FNG9P728T4RY0040000400"/>
      <w:bookmarkEnd w:id="359"/>
      <w:r>
        <w:rPr>
          <w:rFonts w:ascii="arial" w:eastAsia="arial" w:hAnsi="arial" w:cs="arial"/>
          <w:b w:val="0"/>
          <w:i w:val="0"/>
          <w:strike w:val="0"/>
          <w:noProof w:val="0"/>
          <w:color w:val="000000"/>
          <w:position w:val="0"/>
          <w:sz w:val="20"/>
          <w:u w:val="none"/>
          <w:vertAlign w:val="baseline"/>
        </w:rPr>
        <w:t xml:space="preserve">I generally agree with the indirect-purchaser plaintiffs' interpretation of class standing. </w:t>
      </w:r>
      <w:bookmarkStart w:id="360" w:name="Bookmark_LNHNREFclscc15"/>
      <w:bookmarkEnd w:id="360"/>
      <w:hyperlink r:id="rId11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Second Circuit in </w:t>
      </w:r>
      <w:bookmarkStart w:id="361" w:name="Bookmark_I5FNG9P728T4RY0030000400"/>
      <w:bookmarkEnd w:id="361"/>
      <w:hyperlink r:id="rId114" w:history="1">
        <w:r>
          <w:rPr>
            <w:rFonts w:ascii="arial" w:eastAsia="arial" w:hAnsi="arial" w:cs="arial"/>
            <w:b w:val="0"/>
            <w:i/>
            <w:strike w:val="0"/>
            <w:noProof w:val="0"/>
            <w:color w:val="0077CC"/>
            <w:position w:val="0"/>
            <w:sz w:val="20"/>
            <w:u w:val="single"/>
            <w:vertAlign w:val="baseline"/>
          </w:rPr>
          <w:t>NECA-IBEW</w:t>
        </w:r>
      </w:hyperlink>
      <w:r>
        <w:rPr>
          <w:rFonts w:ascii="arial" w:eastAsia="arial" w:hAnsi="arial" w:cs="arial"/>
          <w:b w:val="0"/>
          <w:i w:val="0"/>
          <w:strike w:val="0"/>
          <w:noProof w:val="0"/>
          <w:color w:val="000000"/>
          <w:position w:val="0"/>
          <w:sz w:val="20"/>
          <w:u w:val="none"/>
          <w:vertAlign w:val="baseline"/>
        </w:rPr>
        <w:t xml:space="preserve"> announced a broad standard for class standing, consonant with </w:t>
      </w:r>
      <w:r>
        <w:rPr>
          <w:rFonts w:ascii="arial" w:eastAsia="arial" w:hAnsi="arial" w:cs="arial"/>
          <w:b w:val="0"/>
          <w:i/>
          <w:strike w:val="0"/>
          <w:noProof w:val="0"/>
          <w:color w:val="000000"/>
          <w:position w:val="0"/>
          <w:sz w:val="20"/>
          <w:u w:val="none"/>
          <w:vertAlign w:val="baseline"/>
        </w:rPr>
        <w:t>Gratz</w:t>
      </w:r>
      <w:r>
        <w:rPr>
          <w:rFonts w:ascii="arial" w:eastAsia="arial" w:hAnsi="arial" w:cs="arial"/>
          <w:b w:val="0"/>
          <w:i w:val="0"/>
          <w:strike w:val="0"/>
          <w:noProof w:val="0"/>
          <w:color w:val="000000"/>
          <w:position w:val="0"/>
          <w:sz w:val="20"/>
          <w:u w:val="none"/>
          <w:vertAlign w:val="baseline"/>
        </w:rPr>
        <w:t xml:space="preserve">, that turns on whether the "same set of concerns" is implicated by the defendants' allegedly injurious conduct toward the named plaintiffs and toward the absent class members. </w:t>
      </w:r>
      <w:bookmarkStart w:id="362" w:name="Bookmark_I5FNG9PF2SF8H90010000400"/>
      <w:bookmarkEnd w:id="362"/>
      <w:r>
        <w:rPr>
          <w:rFonts w:ascii="arial" w:eastAsia="arial" w:hAnsi="arial" w:cs="arial"/>
          <w:b w:val="0"/>
          <w:i w:val="0"/>
          <w:strike w:val="0"/>
          <w:noProof w:val="0"/>
          <w:color w:val="000000"/>
          <w:position w:val="0"/>
          <w:sz w:val="20"/>
          <w:u w:val="none"/>
          <w:vertAlign w:val="baseline"/>
        </w:rPr>
        <w:t xml:space="preserve">The named indirect-purchaser plaintiffs in the present case satisfy that standard, because the "same set of concerns" is implicated by the conduct of the defendants with respect to alleged overcharges incurred by indirect purchasers irrespective of the state of their residence. Still, there is a fundamental analytical distinction between class standing and Article III standing. And Article III standing, as a fundamental constitutional requisite of federal judicial power, presents a "threshold question in every federal case." </w:t>
      </w:r>
      <w:bookmarkStart w:id="363" w:name="Bookmark_I5FNG9P728T4RY0050000400"/>
      <w:bookmarkEnd w:id="363"/>
      <w:hyperlink r:id="rId118" w:history="1">
        <w:r>
          <w:rPr>
            <w:rFonts w:ascii="arial" w:eastAsia="arial" w:hAnsi="arial" w:cs="arial"/>
            <w:b w:val="0"/>
            <w:i/>
            <w:strike w:val="0"/>
            <w:noProof w:val="0"/>
            <w:color w:val="0077CC"/>
            <w:position w:val="0"/>
            <w:sz w:val="20"/>
            <w:u w:val="single"/>
            <w:vertAlign w:val="baseline"/>
          </w:rPr>
          <w:t>Warth v. Seldin</w:t>
        </w:r>
      </w:hyperlink>
      <w:hyperlink r:id="rId118"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4" w:name="Bookmark_para_60"/>
      <w:bookmarkEnd w:id="364"/>
      <w:r>
        <w:rPr>
          <w:rFonts w:ascii="arial" w:eastAsia="arial" w:hAnsi="arial" w:cs="arial"/>
          <w:b w:val="0"/>
          <w:i w:val="0"/>
          <w:strike w:val="0"/>
          <w:noProof w:val="0"/>
          <w:color w:val="000000"/>
          <w:position w:val="0"/>
          <w:sz w:val="20"/>
          <w:u w:val="none"/>
          <w:vertAlign w:val="baseline"/>
        </w:rPr>
        <w:t>The indirect purchasers seem to analyze Article III standing on a case-wide basis. They argue that, once they have sufficiently pleaded that they have suffered harm as a result of unlawful conduct by the defendants, they have Article III standing to bring the case and are then over the threshold constitutional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hurdle. </w:t>
      </w:r>
      <w:bookmarkStart w:id="365" w:name="Bookmark_I4969FYJRT0000HF4VM0004T"/>
      <w:bookmarkEnd w:id="365"/>
      <w:bookmarkStart w:id="366" w:name="Bookmark_I4969FYJWM4000HF4VM0004V"/>
      <w:bookmarkEnd w:id="366"/>
      <w:bookmarkStart w:id="367" w:name="Bookmark_I5FNG9PF2SF8H90030000400"/>
      <w:bookmarkEnd w:id="367"/>
      <w:r>
        <w:rPr>
          <w:rFonts w:ascii="arial" w:eastAsia="arial" w:hAnsi="arial" w:cs="arial"/>
          <w:b w:val="0"/>
          <w:i w:val="0"/>
          <w:strike w:val="0"/>
          <w:noProof w:val="0"/>
          <w:color w:val="000000"/>
          <w:position w:val="0"/>
          <w:sz w:val="20"/>
          <w:u w:val="none"/>
          <w:vertAlign w:val="baseline"/>
        </w:rPr>
        <w:t xml:space="preserve">Any subsequent claim-by-claim analysis, the argument goes, is properly the concern of class standing. The defendants offer forceful authority to the contrary. </w:t>
      </w:r>
      <w:r>
        <w:rPr>
          <w:rFonts w:ascii="arial" w:eastAsia="arial" w:hAnsi="arial" w:cs="arial"/>
          <w:b w:val="0"/>
          <w:i/>
          <w:strike w:val="0"/>
          <w:noProof w:val="0"/>
          <w:color w:val="000000"/>
          <w:position w:val="0"/>
          <w:sz w:val="20"/>
          <w:u w:val="none"/>
          <w:vertAlign w:val="baseline"/>
        </w:rPr>
        <w:t xml:space="preserve">E.g., </w:t>
      </w:r>
      <w:bookmarkStart w:id="368" w:name="Bookmark_I5FNG9PF2SF8H90020000400"/>
      <w:bookmarkEnd w:id="368"/>
      <w:hyperlink r:id="rId119" w:history="1">
        <w:r>
          <w:rPr>
            <w:rFonts w:ascii="arial" w:eastAsia="arial" w:hAnsi="arial" w:cs="arial"/>
            <w:b w:val="0"/>
            <w:i/>
            <w:strike w:val="0"/>
            <w:noProof w:val="0"/>
            <w:color w:val="0077CC"/>
            <w:position w:val="0"/>
            <w:sz w:val="20"/>
            <w:u w:val="single"/>
            <w:vertAlign w:val="baseline"/>
          </w:rPr>
          <w:t>Lewis v. Casey</w:t>
        </w:r>
      </w:hyperlink>
      <w:hyperlink r:id="rId119" w:history="1">
        <w:r>
          <w:rPr>
            <w:rFonts w:ascii="arial" w:eastAsia="arial" w:hAnsi="arial" w:cs="arial"/>
            <w:b w:val="0"/>
            <w:i/>
            <w:strike w:val="0"/>
            <w:noProof w:val="0"/>
            <w:color w:val="0077CC"/>
            <w:position w:val="0"/>
            <w:sz w:val="20"/>
            <w:u w:val="single"/>
            <w:vertAlign w:val="baseline"/>
          </w:rPr>
          <w:t>, 518 U.S. 343, 358 n.6, 116 S. Ct. 2174, 135 L. Ed. 2d 606 (1996)</w:t>
        </w:r>
      </w:hyperlink>
      <w:r>
        <w:rPr>
          <w:rFonts w:ascii="arial" w:eastAsia="arial" w:hAnsi="arial" w:cs="arial"/>
          <w:b w:val="0"/>
          <w:i w:val="0"/>
          <w:strike w:val="0"/>
          <w:noProof w:val="0"/>
          <w:color w:val="000000"/>
          <w:position w:val="0"/>
          <w:sz w:val="20"/>
          <w:u w:val="none"/>
          <w:vertAlign w:val="baseline"/>
        </w:rPr>
        <w:t xml:space="preserve"> ("But standing is not dispensed in gross."); </w:t>
      </w:r>
      <w:bookmarkStart w:id="369" w:name="Bookmark_I5FNG9PF2SF8H90040000400"/>
      <w:bookmarkEnd w:id="369"/>
      <w:hyperlink r:id="rId120" w:history="1">
        <w:r>
          <w:rPr>
            <w:rFonts w:ascii="arial" w:eastAsia="arial" w:hAnsi="arial" w:cs="arial"/>
            <w:b w:val="0"/>
            <w:i/>
            <w:strike w:val="0"/>
            <w:noProof w:val="0"/>
            <w:color w:val="0077CC"/>
            <w:position w:val="0"/>
            <w:sz w:val="20"/>
            <w:u w:val="single"/>
            <w:vertAlign w:val="baseline"/>
          </w:rPr>
          <w:t>Davis v. Fed. Election Comm'n</w:t>
        </w:r>
      </w:hyperlink>
      <w:hyperlink r:id="rId120" w:history="1">
        <w:r>
          <w:rPr>
            <w:rFonts w:ascii="arial" w:eastAsia="arial" w:hAnsi="arial" w:cs="arial"/>
            <w:b w:val="0"/>
            <w:i/>
            <w:strike w:val="0"/>
            <w:noProof w:val="0"/>
            <w:color w:val="0077CC"/>
            <w:position w:val="0"/>
            <w:sz w:val="20"/>
            <w:u w:val="single"/>
            <w:vertAlign w:val="baseline"/>
          </w:rPr>
          <w:t>, 554 U.S. 724, 734, 128 S. Ct. 2759, 171 L. Ed. 2d 737 (2008)</w:t>
        </w:r>
      </w:hyperlink>
      <w:r>
        <w:rPr>
          <w:rFonts w:ascii="arial" w:eastAsia="arial" w:hAnsi="arial" w:cs="arial"/>
          <w:b w:val="0"/>
          <w:i w:val="0"/>
          <w:strike w:val="0"/>
          <w:noProof w:val="0"/>
          <w:color w:val="000000"/>
          <w:position w:val="0"/>
          <w:sz w:val="20"/>
          <w:u w:val="none"/>
          <w:vertAlign w:val="baseline"/>
        </w:rPr>
        <w:t xml:space="preserve"> ("[A] plaintiff must demonstrate standing for each claim he seeks to press and for each form of relief that is sought." (quotations omitted)). </w:t>
      </w:r>
      <w:r>
        <w:rPr>
          <w:rFonts w:ascii="arial" w:eastAsia="arial" w:hAnsi="arial" w:cs="arial"/>
          <w:b w:val="0"/>
          <w:i w:val="0"/>
          <w:strike w:val="0"/>
          <w:noProof w:val="0"/>
          <w:color w:val="000000"/>
          <w:position w:val="0"/>
          <w:sz w:val="20"/>
          <w:u w:val="none"/>
          <w:vertAlign w:val="baseline"/>
        </w:rPr>
        <w:t>The indirect purchasers do not effectively rebut that authority. The pleadings plausibly allege that the indirect purchasers were harmed by the defendants' unlawful conduct, so it would be difficult to doubt that they present a live case or controversy for which they have standing under Article III. But the applicability to that case or controversy of the laws of states where the named plaintiffs do not (and perhaps cannot) plead harm is dependent upon harms caused to absent (and at this stage only putative) class members.</w:t>
      </w:r>
    </w:p>
    <w:p>
      <w:pPr>
        <w:keepNext w:val="0"/>
        <w:widowControl w:val="0"/>
        <w:spacing w:before="240" w:after="0" w:line="260" w:lineRule="atLeast"/>
        <w:ind w:left="0" w:right="0" w:firstLine="0"/>
        <w:jc w:val="both"/>
      </w:pPr>
      <w:bookmarkStart w:id="370" w:name="Bookmark_para_61"/>
      <w:bookmarkEnd w:id="370"/>
      <w:bookmarkStart w:id="371" w:name="Bookmark_I4969FYK05J000HF4VM0004W"/>
      <w:bookmarkEnd w:id="371"/>
      <w:bookmarkStart w:id="372" w:name="Bookmark_I4969FYK40P000HF4VM0004X"/>
      <w:bookmarkEnd w:id="372"/>
      <w:bookmarkStart w:id="373" w:name="Bookmark_I5FNG9PF2N1PS30020000400"/>
      <w:bookmarkEnd w:id="373"/>
      <w:bookmarkStart w:id="374" w:name="Bookmark_I4969FYK7TV000HF4VM0004Y"/>
      <w:bookmarkEnd w:id="374"/>
      <w:bookmarkStart w:id="375" w:name="Bookmark_I5FNG9PF2N1PS40010000400"/>
      <w:bookmarkEnd w:id="375"/>
      <w:bookmarkStart w:id="376" w:name="Bookmark_I5FNG9PF2N1PS40030000400"/>
      <w:bookmarkEnd w:id="376"/>
      <w:r>
        <w:rPr>
          <w:rFonts w:ascii="arial" w:eastAsia="arial" w:hAnsi="arial" w:cs="arial"/>
          <w:b w:val="0"/>
          <w:i w:val="0"/>
          <w:strike w:val="0"/>
          <w:noProof w:val="0"/>
          <w:color w:val="000000"/>
          <w:position w:val="0"/>
          <w:sz w:val="20"/>
          <w:u w:val="none"/>
          <w:vertAlign w:val="baseline"/>
        </w:rPr>
        <w:t xml:space="preserve">The indirect purchasers point to numerous cases that have interpreted </w:t>
      </w:r>
      <w:bookmarkStart w:id="377" w:name="Bookmark_I5FNG9PF2N1PS30010000400"/>
      <w:bookmarkEnd w:id="377"/>
      <w:hyperlink r:id="rId121" w:history="1">
        <w:r>
          <w:rPr>
            <w:rFonts w:ascii="arial" w:eastAsia="arial" w:hAnsi="arial" w:cs="arial"/>
            <w:b w:val="0"/>
            <w:i/>
            <w:strike w:val="0"/>
            <w:noProof w:val="0"/>
            <w:color w:val="0077CC"/>
            <w:position w:val="0"/>
            <w:sz w:val="20"/>
            <w:u w:val="single"/>
            <w:vertAlign w:val="baseline"/>
          </w:rPr>
          <w:t xml:space="preserve">Ortiz v. </w:t>
        </w:r>
      </w:hyperlink>
      <w:hyperlink r:id="rId121" w:history="1">
        <w:r>
          <w:rPr>
            <w:rFonts w:ascii="arial" w:eastAsia="arial" w:hAnsi="arial" w:cs="arial"/>
            <w:b/>
            <w:i/>
            <w:strike w:val="0"/>
            <w:noProof w:val="0"/>
            <w:color w:val="0077CC"/>
            <w:position w:val="0"/>
            <w:sz w:val="20"/>
            <w:u w:val="single"/>
            <w:vertAlign w:val="baseline"/>
          </w:rPr>
          <w:t> [*251] </w:t>
        </w:r>
      </w:hyperlink>
      <w:hyperlink r:id="rId121" w:history="1">
        <w:r>
          <w:rPr>
            <w:rFonts w:ascii="arial" w:eastAsia="arial" w:hAnsi="arial" w:cs="arial"/>
            <w:b w:val="0"/>
            <w:i/>
            <w:strike w:val="0"/>
            <w:noProof w:val="0"/>
            <w:color w:val="0077CC"/>
            <w:position w:val="0"/>
            <w:sz w:val="20"/>
            <w:u w:val="single"/>
            <w:vertAlign w:val="baseline"/>
          </w:rPr>
          <w:t xml:space="preserve"> Fibreboard Corp</w:t>
        </w:r>
      </w:hyperlink>
      <w:hyperlink r:id="rId121" w:history="1">
        <w:r>
          <w:rPr>
            <w:rFonts w:ascii="arial" w:eastAsia="arial" w:hAnsi="arial" w:cs="arial"/>
            <w:b w:val="0"/>
            <w:i/>
            <w:strike w:val="0"/>
            <w:noProof w:val="0"/>
            <w:color w:val="0077CC"/>
            <w:position w:val="0"/>
            <w:sz w:val="20"/>
            <w:u w:val="single"/>
            <w:vertAlign w:val="baseline"/>
          </w:rPr>
          <w:t>., 527 U.S. 815, 119 S. Ct. 2295, 144 L. Ed. 2d 715 (1999)</w:t>
        </w:r>
      </w:hyperlink>
      <w:r>
        <w:rPr>
          <w:rFonts w:ascii="arial" w:eastAsia="arial" w:hAnsi="arial" w:cs="arial"/>
          <w:b w:val="0"/>
          <w:i w:val="0"/>
          <w:strike w:val="0"/>
          <w:noProof w:val="0"/>
          <w:color w:val="000000"/>
          <w:position w:val="0"/>
          <w:sz w:val="20"/>
          <w:u w:val="none"/>
          <w:vertAlign w:val="baseline"/>
        </w:rPr>
        <w:t xml:space="preserve">, and </w:t>
      </w:r>
      <w:bookmarkStart w:id="378" w:name="Bookmark_I5FNG9PF2N1PS30030000400"/>
      <w:bookmarkEnd w:id="378"/>
      <w:hyperlink r:id="rId122" w:history="1">
        <w:r>
          <w:rPr>
            <w:rFonts w:ascii="arial" w:eastAsia="arial" w:hAnsi="arial" w:cs="arial"/>
            <w:b w:val="0"/>
            <w:i/>
            <w:strike w:val="0"/>
            <w:noProof w:val="0"/>
            <w:color w:val="0077CC"/>
            <w:position w:val="0"/>
            <w:sz w:val="20"/>
            <w:u w:val="single"/>
            <w:vertAlign w:val="baseline"/>
          </w:rPr>
          <w:t>Amchem Products, Inc. v. Windsor</w:t>
        </w:r>
      </w:hyperlink>
      <w:hyperlink r:id="rId122"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to stand for the proposition that the question of Article III standing can be deferred until after class certification. In </w:t>
      </w:r>
      <w:r>
        <w:rPr>
          <w:rFonts w:ascii="arial" w:eastAsia="arial" w:hAnsi="arial" w:cs="arial"/>
          <w:b w:val="0"/>
          <w:i/>
          <w:strike w:val="0"/>
          <w:noProof w:val="0"/>
          <w:color w:val="000000"/>
          <w:position w:val="0"/>
          <w:sz w:val="20"/>
          <w:u w:val="none"/>
          <w:vertAlign w:val="baseline"/>
        </w:rPr>
        <w:t>Mahon</w:t>
      </w:r>
      <w:r>
        <w:rPr>
          <w:rFonts w:ascii="arial" w:eastAsia="arial" w:hAnsi="arial" w:cs="arial"/>
          <w:b w:val="0"/>
          <w:i w:val="0"/>
          <w:strike w:val="0"/>
          <w:noProof w:val="0"/>
          <w:color w:val="000000"/>
          <w:position w:val="0"/>
          <w:sz w:val="20"/>
          <w:u w:val="none"/>
          <w:vertAlign w:val="baseline"/>
        </w:rPr>
        <w:t>, however, the Second Circuit repudiated that interpretation of those cases, noting that the Article III</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issue was deferred in them not because it is always permissible to do so but because the class issue was dispositive. </w:t>
      </w:r>
      <w:bookmarkStart w:id="379" w:name="Bookmark_I5FNG9PF2N1PS30050000400"/>
      <w:bookmarkEnd w:id="379"/>
      <w:hyperlink r:id="rId112" w:history="1">
        <w:r>
          <w:rPr>
            <w:rFonts w:ascii="arial" w:eastAsia="arial" w:hAnsi="arial" w:cs="arial"/>
            <w:b w:val="0"/>
            <w:i/>
            <w:strike w:val="0"/>
            <w:noProof w:val="0"/>
            <w:color w:val="0077CC"/>
            <w:position w:val="0"/>
            <w:sz w:val="20"/>
            <w:u w:val="single"/>
            <w:vertAlign w:val="baseline"/>
          </w:rPr>
          <w:t>683 F.3d at 63—66</w:t>
        </w:r>
      </w:hyperlink>
      <w:r>
        <w:rPr>
          <w:rFonts w:ascii="arial" w:eastAsia="arial" w:hAnsi="arial" w:cs="arial"/>
          <w:b w:val="0"/>
          <w:i w:val="0"/>
          <w:strike w:val="0"/>
          <w:noProof w:val="0"/>
          <w:color w:val="000000"/>
          <w:position w:val="0"/>
          <w:sz w:val="20"/>
          <w:u w:val="none"/>
          <w:vertAlign w:val="baseline"/>
        </w:rPr>
        <w:t xml:space="preserve">. The Court reasoned that </w:t>
      </w:r>
      <w:bookmarkStart w:id="380" w:name="Bookmark_LNHNREFclscc16"/>
      <w:bookmarkEnd w:id="380"/>
      <w:hyperlink r:id="rId12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"[a] federal rule cannot alter a constitutional requirement," and therefore "</w:t>
      </w:r>
      <w:r>
        <w:rPr>
          <w:rFonts w:ascii="arial" w:eastAsia="arial" w:hAnsi="arial" w:cs="arial"/>
          <w:b w:val="0"/>
          <w:i/>
          <w:strike w:val="0"/>
          <w:noProof w:val="0"/>
          <w:color w:val="000000"/>
          <w:position w:val="0"/>
          <w:sz w:val="20"/>
          <w:u w:val="none"/>
          <w:vertAlign w:val="baseline"/>
        </w:rPr>
        <w:t>with respect to each asserted claim</w:t>
      </w:r>
      <w:r>
        <w:rPr>
          <w:rFonts w:ascii="arial" w:eastAsia="arial" w:hAnsi="arial" w:cs="arial"/>
          <w:b w:val="0"/>
          <w:i w:val="0"/>
          <w:strike w:val="0"/>
          <w:noProof w:val="0"/>
          <w:color w:val="000000"/>
          <w:position w:val="0"/>
          <w:sz w:val="20"/>
          <w:u w:val="none"/>
          <w:vertAlign w:val="baseline"/>
        </w:rPr>
        <w:t xml:space="preserve">, a plaintiff must always have suffered a distinct and palpable injury to herself." </w:t>
      </w:r>
      <w:bookmarkStart w:id="381" w:name="Bookmark_I5FNG9PF2N1PS40020000400"/>
      <w:bookmarkEnd w:id="381"/>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at 64</w:t>
        </w:r>
      </w:hyperlink>
      <w:r>
        <w:rPr>
          <w:rFonts w:ascii="arial" w:eastAsia="arial" w:hAnsi="arial" w:cs="arial"/>
          <w:b w:val="0"/>
          <w:i w:val="0"/>
          <w:strike w:val="0"/>
          <w:noProof w:val="0"/>
          <w:color w:val="000000"/>
          <w:position w:val="0"/>
          <w:sz w:val="20"/>
          <w:u w:val="none"/>
          <w:vertAlign w:val="baseline"/>
        </w:rPr>
        <w:t xml:space="preserve"> (emphasis in the original, quotation omitted).</w:t>
      </w:r>
    </w:p>
    <w:p>
      <w:pPr>
        <w:keepNext w:val="0"/>
        <w:widowControl w:val="0"/>
        <w:spacing w:before="200" w:after="0" w:line="260" w:lineRule="atLeast"/>
        <w:ind w:left="0" w:right="0" w:firstLine="0"/>
        <w:jc w:val="both"/>
      </w:pPr>
      <w:bookmarkStart w:id="382" w:name="Bookmark_para_62"/>
      <w:bookmarkEnd w:id="382"/>
      <w:r>
        <w:rPr>
          <w:rFonts w:ascii="arial" w:eastAsia="arial" w:hAnsi="arial" w:cs="arial"/>
          <w:b w:val="0"/>
          <w:i w:val="0"/>
          <w:strike w:val="0"/>
          <w:noProof w:val="0"/>
          <w:color w:val="000000"/>
          <w:position w:val="0"/>
          <w:sz w:val="20"/>
          <w:u w:val="none"/>
          <w:vertAlign w:val="baseline"/>
        </w:rPr>
        <w:t>I therefore grant without prejudice the defendants' motion to dismiss the indirect-purchaser complaints with respect to all claims under the laws of states (or territories) where the named indirect-purchasers do not allege to have suffered injury. The indirect purchasers have leave to replead claims for any state where the named plaintiffs specifically can allege to have incurred overcharges.</w:t>
      </w:r>
    </w:p>
    <w:p>
      <w:pPr>
        <w:keepNext w:val="0"/>
        <w:widowControl w:val="0"/>
        <w:spacing w:before="200" w:after="0" w:line="260" w:lineRule="atLeast"/>
        <w:ind w:left="0" w:right="0" w:firstLine="0"/>
        <w:jc w:val="both"/>
      </w:pPr>
      <w:bookmarkStart w:id="383" w:name="Bookmark_para_63"/>
      <w:bookmarkEnd w:id="383"/>
      <w:r>
        <w:rPr>
          <w:rFonts w:ascii="arial" w:eastAsia="arial" w:hAnsi="arial" w:cs="arial"/>
          <w:b w:val="0"/>
          <w:i w:val="0"/>
          <w:strike w:val="0"/>
          <w:noProof w:val="0"/>
          <w:color w:val="000000"/>
          <w:position w:val="0"/>
          <w:sz w:val="20"/>
          <w:u w:val="none"/>
          <w:vertAlign w:val="baseline"/>
        </w:rPr>
        <w:t>Humana makes (essentially) the same state-law claims as the indirect-purchaser plaintiffs, but standing is uncomplicated because Humana pleads that it has been an indirect purchaser of Aggrenox in all fifty states. Humana and the indirect-purchaser plaintiffs each incorporate by reference the relevant portions of the other's opposition memorandum, and I will thus discuss the remaining arguments on both motions to</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dismiss collectively.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Standing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0" w:right="0" w:firstLine="0"/>
        <w:jc w:val="both"/>
      </w:pPr>
      <w:bookmarkStart w:id="384" w:name="Bookmark_para_64"/>
      <w:bookmarkEnd w:id="384"/>
      <w:bookmarkStart w:id="385" w:name="Bookmark_I4969FYKCN0000HF4VM00050"/>
      <w:bookmarkEnd w:id="385"/>
      <w:bookmarkStart w:id="386" w:name="Bookmark_I5FNG9PF2N1PS40050000400"/>
      <w:bookmarkEnd w:id="386"/>
      <w:r>
        <w:rPr>
          <w:rFonts w:ascii="arial" w:eastAsia="arial" w:hAnsi="arial" w:cs="arial"/>
          <w:b w:val="0"/>
          <w:i w:val="0"/>
          <w:strike w:val="0"/>
          <w:noProof w:val="0"/>
          <w:color w:val="000000"/>
          <w:position w:val="0"/>
          <w:sz w:val="20"/>
          <w:u w:val="none"/>
          <w:vertAlign w:val="baseline"/>
        </w:rPr>
        <w:t xml:space="preserve">In the wake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's announcement of the indirect-purchaser rule, many states passed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repealers" to allow indirect purchasers to recover under their respective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Supreme Court endorsed the permissibility of that approach in </w:t>
      </w:r>
      <w:bookmarkStart w:id="387" w:name="Bookmark_I5FNG9PF2N1PS40040000400"/>
      <w:bookmarkEnd w:id="387"/>
      <w:hyperlink r:id="rId108" w:history="1">
        <w:r>
          <w:rPr>
            <w:rFonts w:ascii="arial" w:eastAsia="arial" w:hAnsi="arial" w:cs="arial"/>
            <w:b w:val="0"/>
            <w:i/>
            <w:strike w:val="0"/>
            <w:noProof w:val="0"/>
            <w:color w:val="0077CC"/>
            <w:position w:val="0"/>
            <w:sz w:val="20"/>
            <w:u w:val="single"/>
            <w:vertAlign w:val="baseline"/>
          </w:rPr>
          <w:t>ARC America Corp</w:t>
        </w:r>
      </w:hyperlink>
      <w:hyperlink r:id="rId108" w:history="1">
        <w:r>
          <w:rPr>
            <w:rFonts w:ascii="arial" w:eastAsia="arial" w:hAnsi="arial" w:cs="arial"/>
            <w:b w:val="0"/>
            <w:i/>
            <w:strike w:val="0"/>
            <w:noProof w:val="0"/>
            <w:color w:val="0077CC"/>
            <w:position w:val="0"/>
            <w:sz w:val="20"/>
            <w:u w:val="single"/>
            <w:vertAlign w:val="baseline"/>
          </w:rPr>
          <w:t>. 490 U.S. at 105—06</w:t>
        </w:r>
      </w:hyperlink>
      <w:r>
        <w:rPr>
          <w:rFonts w:ascii="arial" w:eastAsia="arial" w:hAnsi="arial" w:cs="arial"/>
          <w:b w:val="0"/>
          <w:i w:val="0"/>
          <w:strike w:val="0"/>
          <w:noProof w:val="0"/>
          <w:color w:val="000000"/>
          <w:position w:val="0"/>
          <w:sz w:val="20"/>
          <w:u w:val="none"/>
          <w:vertAlign w:val="baseline"/>
        </w:rPr>
        <w:t xml:space="preserve">. Of course, there are also states that continue to follow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so indirect purchasers cannot recover for overcharges under those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defendants argue that Florida, Massachusetts, and Puerto Rico are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jurisdictions, and that Rhode Island was, too, until it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in 2013, which should not be applied retroactively here. They initially included Utah in that list as well, before admitting that it did pass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but one that permits indirect-purchaser claims only by citizens or residents of the state. In response, the indirect purchasers withdraw their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Florida and Massachusetts,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dispute the plaintiffs' interpretation of the laws of the other jurisdictions.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Utah</w:t>
      </w:r>
    </w:p>
    <w:p>
      <w:pPr>
        <w:keepNext w:val="0"/>
        <w:widowControl w:val="0"/>
        <w:spacing w:before="200" w:after="0" w:line="260" w:lineRule="atLeast"/>
        <w:ind w:left="0" w:right="0" w:firstLine="0"/>
        <w:jc w:val="both"/>
      </w:pPr>
      <w:bookmarkStart w:id="389" w:name="Bookmark_para_65"/>
      <w:bookmarkEnd w:id="389"/>
      <w:bookmarkStart w:id="390" w:name="Bookmark_LNHNREFclscc17"/>
      <w:bookmarkEnd w:id="390"/>
      <w:hyperlink r:id="rId12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Utah has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and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therefore does grant indirect purchasers the right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but only if they are citizens or residents of Utah.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Utah Code § 76-10-3109</w:t>
        </w:r>
      </w:hyperlink>
      <w:r>
        <w:rPr>
          <w:rFonts w:ascii="arial" w:eastAsia="arial" w:hAnsi="arial" w:cs="arial"/>
          <w:b w:val="0"/>
          <w:i w:val="0"/>
          <w:strike w:val="0"/>
          <w:noProof w:val="0"/>
          <w:color w:val="000000"/>
          <w:position w:val="0"/>
          <w:sz w:val="20"/>
          <w:u w:val="none"/>
          <w:vertAlign w:val="baseline"/>
        </w:rPr>
        <w:t xml:space="preserve">. The indirect purchasers claim to be asserting claims under that law on behalf of residents of Utah, but they do not claim that any of the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named plaintiffs are such residents. For the reasons discussed above, they lack Article III standing to assert such claims. Humana claims to be an indirect purchaser of Aggrenox in all fifty states, but does not claim to be a citizen or resident of Utah. All claims under the Utah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are therefore dismissed without prejudice to repleading in the event that any named plaintiff is a citizen or resident of Utah.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Puerto</w:t>
      </w:r>
      <w:r>
        <w:rPr>
          <w:rFonts w:ascii="arial" w:eastAsia="arial" w:hAnsi="arial" w:cs="arial"/>
          <w:b/>
          <w:i w:val="0"/>
          <w:strike w:val="0"/>
          <w:noProof w:val="0"/>
          <w:color w:val="000000"/>
          <w:position w:val="0"/>
          <w:sz w:val="20"/>
          <w:u w:val="single"/>
          <w:vertAlign w:val="baseline"/>
        </w:rPr>
        <w:t> [**68] </w:t>
      </w:r>
      <w:r>
        <w:rPr>
          <w:rFonts w:ascii="arial" w:eastAsia="arial" w:hAnsi="arial" w:cs="arial"/>
          <w:b w:val="0"/>
          <w:i w:val="0"/>
          <w:strike w:val="0"/>
          <w:noProof w:val="0"/>
          <w:color w:val="000000"/>
          <w:position w:val="0"/>
          <w:sz w:val="20"/>
          <w:u w:val="single"/>
          <w:vertAlign w:val="baseline"/>
        </w:rPr>
        <w:t xml:space="preserve"> Rico</w:t>
      </w:r>
    </w:p>
    <w:p>
      <w:pPr>
        <w:keepNext w:val="0"/>
        <w:widowControl w:val="0"/>
        <w:spacing w:before="200" w:after="0" w:line="260" w:lineRule="atLeast"/>
        <w:ind w:left="0" w:right="0" w:firstLine="0"/>
        <w:jc w:val="both"/>
      </w:pPr>
      <w:bookmarkStart w:id="391" w:name="Bookmark_para_66"/>
      <w:bookmarkEnd w:id="391"/>
      <w:bookmarkStart w:id="392" w:name="Bookmark_LNHNREFclscc18"/>
      <w:bookmarkEnd w:id="392"/>
      <w:hyperlink r:id="rId12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393" w:name="Bookmark_I5FNG9PF2N1PS50020000400"/>
      <w:bookmarkEnd w:id="393"/>
      <w:bookmarkStart w:id="394" w:name="Bookmark_I4969FYKHG4000HF4VM00051"/>
      <w:bookmarkEnd w:id="394"/>
      <w:bookmarkStart w:id="395" w:name="Bookmark_I4969FYKN98000HF4VM00052"/>
      <w:bookmarkEnd w:id="395"/>
      <w:bookmarkStart w:id="396" w:name="Bookmark_I4969FYKT4D000HF4VM00053"/>
      <w:bookmarkEnd w:id="396"/>
      <w:bookmarkStart w:id="397" w:name="Bookmark_I4969FYKXYJ000HF4VM00054"/>
      <w:bookmarkEnd w:id="397"/>
      <w:bookmarkStart w:id="398" w:name="Bookmark_I4969FYPT9J000HF4VM0005X"/>
      <w:bookmarkEnd w:id="398"/>
      <w:bookmarkStart w:id="399" w:name="Bookmark_I5FNG9PF2N1PS50040000400"/>
      <w:bookmarkEnd w:id="399"/>
      <w:r>
        <w:rPr>
          <w:rFonts w:ascii="arial" w:eastAsia="arial" w:hAnsi="arial" w:cs="arial"/>
          <w:b w:val="0"/>
          <w:i w:val="0"/>
          <w:strike w:val="0"/>
          <w:noProof w:val="0"/>
          <w:color w:val="000000"/>
          <w:position w:val="0"/>
          <w:sz w:val="20"/>
          <w:u w:val="none"/>
          <w:vertAlign w:val="baseline"/>
        </w:rPr>
        <w:t xml:space="preserve">Puerto Rico has not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and its territorial courts have apparently not directly addressed the issue, but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generally construed "as essentially embodying the jurisprudence relevant to the parallel federal law." </w:t>
      </w:r>
      <w:bookmarkStart w:id="400" w:name="Bookmark_I5FNG9PF2N1PS50010000400"/>
      <w:bookmarkEnd w:id="400"/>
      <w:hyperlink r:id="rId126" w:history="1">
        <w:r>
          <w:rPr>
            <w:rFonts w:ascii="arial" w:eastAsia="arial" w:hAnsi="arial" w:cs="arial"/>
            <w:b w:val="0"/>
            <w:i/>
            <w:strike w:val="0"/>
            <w:noProof w:val="0"/>
            <w:color w:val="0077CC"/>
            <w:position w:val="0"/>
            <w:sz w:val="20"/>
            <w:u w:val="single"/>
            <w:vertAlign w:val="baseline"/>
          </w:rPr>
          <w:t>Caribe BMW, Inc. v. Bayerische Motoren Werke Aktiengesellschaft</w:t>
        </w:r>
      </w:hyperlink>
      <w:hyperlink r:id="rId126" w:history="1">
        <w:r>
          <w:rPr>
            <w:rFonts w:ascii="arial" w:eastAsia="arial" w:hAnsi="arial" w:cs="arial"/>
            <w:b w:val="0"/>
            <w:i/>
            <w:strike w:val="0"/>
            <w:noProof w:val="0"/>
            <w:color w:val="0077CC"/>
            <w:position w:val="0"/>
            <w:sz w:val="20"/>
            <w:u w:val="single"/>
            <w:vertAlign w:val="baseline"/>
          </w:rPr>
          <w:t>, 19 F.3d 745, 754 (1st Cir. 1994)</w:t>
        </w:r>
      </w:hyperlink>
      <w:r>
        <w:rPr>
          <w:rFonts w:ascii="arial" w:eastAsia="arial" w:hAnsi="arial" w:cs="arial"/>
          <w:b w:val="0"/>
          <w:i w:val="0"/>
          <w:strike w:val="0"/>
          <w:noProof w:val="0"/>
          <w:color w:val="000000"/>
          <w:position w:val="0"/>
          <w:sz w:val="20"/>
          <w:u w:val="none"/>
          <w:vertAlign w:val="baseline"/>
        </w:rPr>
        <w:t xml:space="preserve">. </w:t>
      </w:r>
      <w:bookmarkStart w:id="401" w:name="Bookmark_I4969FYM2SP000HF4VM00055"/>
      <w:bookmarkEnd w:id="401"/>
      <w:bookmarkStart w:id="402" w:name="Bookmark_I5FNG9RB28T52G0040000400"/>
      <w:bookmarkEnd w:id="402"/>
      <w:r>
        <w:rPr>
          <w:rFonts w:ascii="arial" w:eastAsia="arial" w:hAnsi="arial" w:cs="arial"/>
          <w:b w:val="0"/>
          <w:i w:val="0"/>
          <w:strike w:val="0"/>
          <w:noProof w:val="0"/>
          <w:color w:val="000000"/>
          <w:position w:val="0"/>
          <w:sz w:val="20"/>
          <w:u w:val="none"/>
          <w:vertAlign w:val="baseline"/>
        </w:rPr>
        <w:t xml:space="preserve">The defendants therefore urge the interpretation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applies and bars indirect-purchaser actions, citing the persuasive authority of other district courts that have come to that conclusion. </w:t>
      </w:r>
      <w:r>
        <w:rPr>
          <w:rFonts w:ascii="arial" w:eastAsia="arial" w:hAnsi="arial" w:cs="arial"/>
          <w:b w:val="0"/>
          <w:i/>
          <w:strike w:val="0"/>
          <w:noProof w:val="0"/>
          <w:color w:val="000000"/>
          <w:position w:val="0"/>
          <w:sz w:val="20"/>
          <w:u w:val="none"/>
          <w:vertAlign w:val="baseline"/>
        </w:rPr>
        <w:t xml:space="preserve">See, e.g., </w:t>
      </w:r>
      <w:bookmarkStart w:id="403" w:name="Bookmark_I5FNG9PF2N1PS50030000400"/>
      <w:bookmarkEnd w:id="403"/>
      <w:hyperlink r:id="rId70" w:history="1">
        <w:r>
          <w:rPr>
            <w:rFonts w:ascii="arial" w:eastAsia="arial" w:hAnsi="arial" w:cs="arial"/>
            <w:b w:val="0"/>
            <w:i/>
            <w:strike w:val="0"/>
            <w:noProof w:val="0"/>
            <w:color w:val="0077CC"/>
            <w:position w:val="0"/>
            <w:sz w:val="20"/>
            <w:u w:val="single"/>
            <w:vertAlign w:val="baseline"/>
          </w:rPr>
          <w:t>United Food &amp; Commercial Workers Local 1776 &amp; Participating Employers Health &amp; Welfare Fund v. Teikoku Pharma USA, Inc</w:t>
        </w:r>
      </w:hyperlink>
      <w:hyperlink r:id="rId70" w:history="1">
        <w:r>
          <w:rPr>
            <w:rFonts w:ascii="arial" w:eastAsia="arial" w:hAnsi="arial" w:cs="arial"/>
            <w:b w:val="0"/>
            <w:i/>
            <w:strike w:val="0"/>
            <w:noProof w:val="0"/>
            <w:color w:val="0077CC"/>
            <w:position w:val="0"/>
            <w:sz w:val="20"/>
            <w:u w:val="single"/>
            <w:vertAlign w:val="baseline"/>
          </w:rPr>
          <w:t>., No. 14-MD-02521-WHO, 74 F. Supp. 3d 1052, 2014 U.S. Dist. LEXIS 1610692014 WL 6465235, at *25—26 (N.D. Cal. Nov. 17, 2014)</w:t>
        </w:r>
      </w:hyperlink>
      <w:r>
        <w:rPr>
          <w:rFonts w:ascii="arial" w:eastAsia="arial" w:hAnsi="arial" w:cs="arial"/>
          <w:b w:val="0"/>
          <w:i w:val="0"/>
          <w:strike w:val="0"/>
          <w:noProof w:val="0"/>
          <w:color w:val="000000"/>
          <w:position w:val="0"/>
          <w:sz w:val="20"/>
          <w:u w:val="none"/>
          <w:vertAlign w:val="baseline"/>
        </w:rPr>
        <w:t xml:space="preserve">; </w:t>
      </w:r>
      <w:bookmarkStart w:id="404" w:name="Bookmark_I5FNG9PF2N1PS50050000400"/>
      <w:bookmarkEnd w:id="404"/>
      <w:hyperlink r:id="rId7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968 F. Supp. 2d 367, 409—10 (D. Mass. 2013)</w:t>
        </w:r>
      </w:hyperlink>
      <w:r>
        <w:rPr>
          <w:rFonts w:ascii="arial" w:eastAsia="arial" w:hAnsi="arial" w:cs="arial"/>
          <w:b w:val="0"/>
          <w:i w:val="0"/>
          <w:strike w:val="0"/>
          <w:noProof w:val="0"/>
          <w:color w:val="000000"/>
          <w:position w:val="0"/>
          <w:sz w:val="20"/>
          <w:u w:val="none"/>
          <w:vertAlign w:val="baseline"/>
        </w:rPr>
        <w:t xml:space="preserve">; </w:t>
      </w:r>
      <w:bookmarkStart w:id="405" w:name="Bookmark_I5FNG9R72D6NM10020000400"/>
      <w:bookmarkEnd w:id="405"/>
      <w:hyperlink r:id="rId127"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27" w:history="1">
        <w:r>
          <w:rPr>
            <w:rFonts w:ascii="arial" w:eastAsia="arial" w:hAnsi="arial" w:cs="arial"/>
            <w:b/>
            <w:i/>
            <w:strike w:val="0"/>
            <w:noProof w:val="0"/>
            <w:color w:val="0077CC"/>
            <w:position w:val="0"/>
            <w:sz w:val="20"/>
            <w:u w:val="single"/>
            <w:vertAlign w:val="baseline"/>
          </w:rPr>
          <w:t>Antitrust</w:t>
        </w:r>
      </w:hyperlink>
      <w:hyperlink r:id="rId127" w:history="1">
        <w:r>
          <w:rPr>
            <w:rFonts w:ascii="arial" w:eastAsia="arial" w:hAnsi="arial" w:cs="arial"/>
            <w:b w:val="0"/>
            <w:i/>
            <w:strike w:val="0"/>
            <w:noProof w:val="0"/>
            <w:color w:val="0077CC"/>
            <w:position w:val="0"/>
            <w:sz w:val="20"/>
            <w:u w:val="single"/>
            <w:vertAlign w:val="baseline"/>
          </w:rPr>
          <w:t xml:space="preserve"> Litig</w:t>
        </w:r>
      </w:hyperlink>
      <w:hyperlink r:id="rId127" w:history="1">
        <w:r>
          <w:rPr>
            <w:rFonts w:ascii="arial" w:eastAsia="arial" w:hAnsi="arial" w:cs="arial"/>
            <w:b w:val="0"/>
            <w:i/>
            <w:strike w:val="0"/>
            <w:noProof w:val="0"/>
            <w:color w:val="0077CC"/>
            <w:position w:val="0"/>
            <w:sz w:val="20"/>
            <w:u w:val="single"/>
            <w:vertAlign w:val="baseline"/>
          </w:rPr>
          <w:t>., No. 07-md-01819 CW, 2010 U.S. Dist. LEXIS 131002, 2010 WL 5094289, at *4 (N.D. Cal. Dec. 8, 2010)</w:t>
        </w:r>
      </w:hyperlink>
      <w:r>
        <w:rPr>
          <w:rFonts w:ascii="arial" w:eastAsia="arial" w:hAnsi="arial" w:cs="arial"/>
          <w:b w:val="0"/>
          <w:i w:val="0"/>
          <w:strike w:val="0"/>
          <w:noProof w:val="0"/>
          <w:color w:val="000000"/>
          <w:position w:val="0"/>
          <w:sz w:val="20"/>
          <w:u w:val="none"/>
          <w:vertAlign w:val="baseline"/>
        </w:rPr>
        <w:t xml:space="preserve">; </w:t>
      </w:r>
      <w:bookmarkStart w:id="406" w:name="Bookmark_I5FNG9R72D6NM10040000400"/>
      <w:bookmarkEnd w:id="406"/>
      <w:hyperlink r:id="rId128" w:history="1">
        <w:r>
          <w:rPr>
            <w:rFonts w:ascii="arial" w:eastAsia="arial" w:hAnsi="arial" w:cs="arial"/>
            <w:b w:val="0"/>
            <w:i/>
            <w:strike w:val="0"/>
            <w:noProof w:val="0"/>
            <w:color w:val="0077CC"/>
            <w:position w:val="0"/>
            <w:sz w:val="20"/>
            <w:u w:val="single"/>
            <w:vertAlign w:val="baseline"/>
          </w:rPr>
          <w:t xml:space="preserve">In re Digital Music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812 F. Supp. 2d 390, 413 (S.D.N.Y. 2011)</w:t>
        </w:r>
      </w:hyperlink>
      <w:r>
        <w:rPr>
          <w:rFonts w:ascii="arial" w:eastAsia="arial" w:hAnsi="arial" w:cs="arial"/>
          <w:b w:val="0"/>
          <w:i w:val="0"/>
          <w:strike w:val="0"/>
          <w:noProof w:val="0"/>
          <w:color w:val="000000"/>
          <w:position w:val="0"/>
          <w:sz w:val="20"/>
          <w:u w:val="none"/>
          <w:vertAlign w:val="baseline"/>
        </w:rPr>
        <w:t xml:space="preserve"> (citing </w:t>
      </w:r>
      <w:bookmarkStart w:id="407" w:name="Bookmark_I5FNG9RB28T52G0010000400"/>
      <w:bookmarkEnd w:id="407"/>
      <w:hyperlink r:id="rId129" w:history="1">
        <w:r>
          <w:rPr>
            <w:rFonts w:ascii="arial" w:eastAsia="arial" w:hAnsi="arial" w:cs="arial"/>
            <w:b w:val="0"/>
            <w:i/>
            <w:strike w:val="0"/>
            <w:noProof w:val="0"/>
            <w:color w:val="0077CC"/>
            <w:position w:val="0"/>
            <w:sz w:val="20"/>
            <w:u w:val="single"/>
            <w:vertAlign w:val="baseline"/>
          </w:rPr>
          <w:t xml:space="preserve">In re TFT - LCD (Flat Panel)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599 F. Supp. 2d 1179, 1185—87 (N.D. Cal. 2009))</w:t>
        </w:r>
      </w:hyperlink>
      <w:r>
        <w:rPr>
          <w:rFonts w:ascii="arial" w:eastAsia="arial" w:hAnsi="arial" w:cs="arial"/>
          <w:b w:val="0"/>
          <w:i w:val="0"/>
          <w:strike w:val="0"/>
          <w:noProof w:val="0"/>
          <w:color w:val="000000"/>
          <w:position w:val="0"/>
          <w:sz w:val="20"/>
          <w:u w:val="none"/>
          <w:vertAlign w:val="baseline"/>
        </w:rPr>
        <w:t xml:space="preserve">. </w:t>
      </w:r>
      <w:bookmarkStart w:id="408" w:name="Bookmark_I5FNG9RB28T52G0040000400_2"/>
      <w:bookmarkEnd w:id="408"/>
      <w:r>
        <w:rPr>
          <w:rFonts w:ascii="arial" w:eastAsia="arial" w:hAnsi="arial" w:cs="arial"/>
          <w:b w:val="0"/>
          <w:i w:val="0"/>
          <w:strike w:val="0"/>
          <w:noProof w:val="0"/>
          <w:color w:val="000000"/>
          <w:position w:val="0"/>
          <w:sz w:val="20"/>
          <w:u w:val="none"/>
          <w:vertAlign w:val="baseline"/>
        </w:rPr>
        <w:t xml:space="preserve">The indirect purchasers cite </w:t>
      </w:r>
      <w:bookmarkStart w:id="409" w:name="Bookmark_I5FNG9RB28T52G0030000400"/>
      <w:bookmarkEnd w:id="409"/>
      <w:r>
        <w:rPr>
          <w:rFonts w:ascii="arial" w:eastAsia="arial" w:hAnsi="arial" w:cs="arial"/>
          <w:b w:val="0"/>
          <w:i/>
          <w:strike w:val="0"/>
          <w:noProof w:val="0"/>
          <w:color w:val="000000"/>
          <w:position w:val="0"/>
          <w:sz w:val="20"/>
          <w:u w:val="none"/>
          <w:vertAlign w:val="baseline"/>
        </w:rPr>
        <w:t>Rivera-Muñiz v. Horizon Lines Inc.</w:t>
      </w:r>
      <w:r>
        <w:rPr>
          <w:rFonts w:ascii="arial" w:eastAsia="arial" w:hAnsi="arial" w:cs="arial"/>
          <w:b w:val="0"/>
          <w:i/>
          <w:strike w:val="0"/>
          <w:noProof w:val="0"/>
          <w:color w:val="000000"/>
          <w:position w:val="0"/>
          <w:sz w:val="20"/>
          <w:u w:val="none"/>
          <w:vertAlign w:val="baseline"/>
        </w:rPr>
        <w:t>, 737 F. Supp. 2d 57 (D.P.R. 2010)</w:t>
      </w:r>
      <w:r>
        <w:rPr>
          <w:rFonts w:ascii="arial" w:eastAsia="arial" w:hAnsi="arial" w:cs="arial"/>
          <w:b w:val="0"/>
          <w:i w:val="0"/>
          <w:strike w:val="0"/>
          <w:noProof w:val="0"/>
          <w:color w:val="000000"/>
          <w:position w:val="0"/>
          <w:sz w:val="20"/>
          <w:u w:val="none"/>
          <w:vertAlign w:val="baseline"/>
        </w:rPr>
        <w:t xml:space="preserve">, a federal district court case that came to the contrary conclusion on the basis that Puerto Rico liberally construes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citing for that proposition </w:t>
      </w:r>
      <w:bookmarkStart w:id="410" w:name="Bookmark_I5FNG9RB28T52G0050000400"/>
      <w:bookmarkEnd w:id="410"/>
      <w:hyperlink r:id="rId130" w:history="1">
        <w:r>
          <w:rPr>
            <w:rFonts w:ascii="arial" w:eastAsia="arial" w:hAnsi="arial" w:cs="arial"/>
            <w:b w:val="0"/>
            <w:i/>
            <w:strike w:val="0"/>
            <w:noProof w:val="0"/>
            <w:color w:val="0077CC"/>
            <w:position w:val="0"/>
            <w:sz w:val="20"/>
            <w:u w:val="single"/>
            <w:vertAlign w:val="baseline"/>
          </w:rPr>
          <w:t>Pressure Vessels of Puerto Rico, Inc. v. Empire Gas de Puerto Rico</w:t>
        </w:r>
      </w:hyperlink>
      <w:hyperlink r:id="rId130" w:history="1">
        <w:r>
          <w:rPr>
            <w:rFonts w:ascii="arial" w:eastAsia="arial" w:hAnsi="arial" w:cs="arial"/>
            <w:b w:val="0"/>
            <w:i/>
            <w:strike w:val="0"/>
            <w:noProof w:val="0"/>
            <w:color w:val="0077CC"/>
            <w:position w:val="0"/>
            <w:sz w:val="20"/>
            <w:u w:val="single"/>
            <w:vertAlign w:val="baseline"/>
          </w:rPr>
          <w:t>, 137 P.R. Dec. 497, 1994 P.R.-Eng. 909,547 (P.R.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the defendants point out, however, </w:t>
      </w:r>
      <w:r>
        <w:rPr>
          <w:rFonts w:ascii="arial" w:eastAsia="arial" w:hAnsi="arial" w:cs="arial"/>
          <w:b w:val="0"/>
          <w:i/>
          <w:strike w:val="0"/>
          <w:noProof w:val="0"/>
          <w:color w:val="000000"/>
          <w:position w:val="0"/>
          <w:sz w:val="20"/>
          <w:u w:val="none"/>
          <w:vertAlign w:val="baseline"/>
        </w:rPr>
        <w:t>Pressure Vessels</w:t>
      </w:r>
      <w:r>
        <w:rPr>
          <w:rFonts w:ascii="arial" w:eastAsia="arial" w:hAnsi="arial" w:cs="arial"/>
          <w:b w:val="0"/>
          <w:i w:val="0"/>
          <w:strike w:val="0"/>
          <w:noProof w:val="0"/>
          <w:color w:val="000000"/>
          <w:position w:val="0"/>
          <w:sz w:val="20"/>
          <w:u w:val="none"/>
          <w:vertAlign w:val="baseline"/>
        </w:rPr>
        <w:t xml:space="preserve"> did not address indirect-purchaser standing or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And though I agree with the indirect purchasers' contention that the courts of a particular jurisdiction can authoritatively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interpret their laws as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indirect purchasers even in the absence of an express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by the legislature, I cannot conclude that </w:t>
      </w:r>
      <w:r>
        <w:rPr>
          <w:rFonts w:ascii="arial" w:eastAsia="arial" w:hAnsi="arial" w:cs="arial"/>
          <w:b w:val="0"/>
          <w:i/>
          <w:strike w:val="0"/>
          <w:noProof w:val="0"/>
          <w:color w:val="000000"/>
          <w:position w:val="0"/>
          <w:sz w:val="20"/>
          <w:u w:val="none"/>
          <w:vertAlign w:val="baseline"/>
        </w:rPr>
        <w:t>Pressure Vessels</w:t>
      </w:r>
      <w:r>
        <w:rPr>
          <w:rFonts w:ascii="arial" w:eastAsia="arial" w:hAnsi="arial" w:cs="arial"/>
          <w:b w:val="0"/>
          <w:i w:val="0"/>
          <w:strike w:val="0"/>
          <w:noProof w:val="0"/>
          <w:color w:val="000000"/>
          <w:position w:val="0"/>
          <w:sz w:val="20"/>
          <w:u w:val="none"/>
          <w:vertAlign w:val="baseline"/>
        </w:rPr>
        <w:t xml:space="preserve"> is such an authoritative statement. In the absence of a clear decision—by either the legislature or by the jurisdiction's own courts—to allow indirect-purchaser recovery,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a state (or territory) are interpreted as presumptively consistent with federal law. I therefore conclude that Puerto Rico follows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all indirect-purchaser claims 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Rhode Island</w:t>
      </w:r>
    </w:p>
    <w:p>
      <w:pPr>
        <w:keepNext w:val="0"/>
        <w:widowControl w:val="0"/>
        <w:spacing w:before="200" w:after="0" w:line="260" w:lineRule="atLeast"/>
        <w:ind w:left="0" w:right="0" w:firstLine="0"/>
        <w:jc w:val="both"/>
      </w:pPr>
      <w:bookmarkStart w:id="411" w:name="Bookmark_para_67"/>
      <w:bookmarkEnd w:id="411"/>
      <w:bookmarkStart w:id="412" w:name="Bookmark_LNHNREFclscc19"/>
      <w:bookmarkEnd w:id="412"/>
      <w:hyperlink r:id="rId1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Rhode Island was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state until its legislature enacted a repealer on July 15, 2013. </w:t>
      </w:r>
      <w:bookmarkStart w:id="413" w:name="Bookmark_I5FNG9RB2SF8S20030000400"/>
      <w:bookmarkEnd w:id="4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R.I. Gen. Laws § 6-36-7(d)</w:t>
        </w:r>
      </w:hyperlink>
      <w:r>
        <w:rPr>
          <w:rFonts w:ascii="arial" w:eastAsia="arial" w:hAnsi="arial" w:cs="arial"/>
          <w:b w:val="0"/>
          <w:i w:val="0"/>
          <w:strike w:val="0"/>
          <w:noProof w:val="0"/>
          <w:color w:val="000000"/>
          <w:position w:val="0"/>
          <w:sz w:val="20"/>
          <w:u w:val="none"/>
          <w:vertAlign w:val="baseline"/>
        </w:rPr>
        <w:t xml:space="preserve">. </w:t>
      </w:r>
      <w:bookmarkStart w:id="414" w:name="Bookmark_I4969FYM958000HF4VM00057"/>
      <w:bookmarkEnd w:id="414"/>
      <w:bookmarkStart w:id="415" w:name="Bookmark_I5FNG9RB2SF8S20050000400"/>
      <w:bookmarkEnd w:id="415"/>
      <w:r>
        <w:rPr>
          <w:rFonts w:ascii="arial" w:eastAsia="arial" w:hAnsi="arial" w:cs="arial"/>
          <w:b w:val="0"/>
          <w:i w:val="0"/>
          <w:strike w:val="0"/>
          <w:noProof w:val="0"/>
          <w:color w:val="000000"/>
          <w:position w:val="0"/>
          <w:sz w:val="20"/>
          <w:u w:val="none"/>
          <w:vertAlign w:val="baseline"/>
        </w:rPr>
        <w:t xml:space="preserve">The indirect purchasers urge (with little argument, and less authority) retroactive application, citing cases for the proposition that such application is </w:t>
      </w:r>
      <w:r>
        <w:rPr>
          <w:rFonts w:ascii="arial" w:eastAsia="arial" w:hAnsi="arial" w:cs="arial"/>
          <w:b w:val="0"/>
          <w:i/>
          <w:strike w:val="0"/>
          <w:noProof w:val="0"/>
          <w:color w:val="000000"/>
          <w:position w:val="0"/>
          <w:sz w:val="20"/>
          <w:u w:val="none"/>
          <w:vertAlign w:val="baseline"/>
        </w:rPr>
        <w:t>sometimes</w:t>
      </w:r>
      <w:r>
        <w:rPr>
          <w:rFonts w:ascii="arial" w:eastAsia="arial" w:hAnsi="arial" w:cs="arial"/>
          <w:b w:val="0"/>
          <w:i w:val="0"/>
          <w:strike w:val="0"/>
          <w:noProof w:val="0"/>
          <w:color w:val="000000"/>
          <w:position w:val="0"/>
          <w:sz w:val="20"/>
          <w:u w:val="none"/>
          <w:vertAlign w:val="baseline"/>
        </w:rPr>
        <w:t xml:space="preserve"> permissible, but nothing to substantiate the claim that the Rhode Island statute is "entitled" (doc. # 182, p.19) to such application. On the contrary, in Rhode Island as elsewhere, "statutes and their amendments are presumed to apply prospectively." </w:t>
      </w:r>
      <w:bookmarkStart w:id="416" w:name="Bookmark_I5FNG9RB2SF8S20020000400"/>
      <w:bookmarkEnd w:id="416"/>
      <w:hyperlink r:id="rId132" w:history="1">
        <w:r>
          <w:rPr>
            <w:rFonts w:ascii="arial" w:eastAsia="arial" w:hAnsi="arial" w:cs="arial"/>
            <w:b w:val="0"/>
            <w:i/>
            <w:strike w:val="0"/>
            <w:noProof w:val="0"/>
            <w:color w:val="0077CC"/>
            <w:position w:val="0"/>
            <w:sz w:val="20"/>
            <w:u w:val="single"/>
            <w:vertAlign w:val="baseline"/>
          </w:rPr>
          <w:t>Hydro-Mfg., Inc. v. Kayser-Roth</w:t>
        </w:r>
      </w:hyperlink>
      <w:hyperlink r:id="rId132" w:history="1">
        <w:r>
          <w:rPr>
            <w:rFonts w:ascii="arial" w:eastAsia="arial" w:hAnsi="arial" w:cs="arial"/>
            <w:b w:val="0"/>
            <w:i/>
            <w:strike w:val="0"/>
            <w:noProof w:val="0"/>
            <w:color w:val="0077CC"/>
            <w:position w:val="0"/>
            <w:sz w:val="20"/>
            <w:u w:val="single"/>
            <w:vertAlign w:val="baseline"/>
          </w:rPr>
          <w:t>, 640 A.2d 950, 954 (R.I. 1994)</w:t>
        </w:r>
      </w:hyperlink>
      <w:r>
        <w:rPr>
          <w:rFonts w:ascii="arial" w:eastAsia="arial" w:hAnsi="arial" w:cs="arial"/>
          <w:b w:val="0"/>
          <w:i w:val="0"/>
          <w:strike w:val="0"/>
          <w:noProof w:val="0"/>
          <w:color w:val="000000"/>
          <w:position w:val="0"/>
          <w:sz w:val="20"/>
          <w:u w:val="none"/>
          <w:vertAlign w:val="baseline"/>
        </w:rPr>
        <w:t xml:space="preserve">. </w:t>
      </w:r>
      <w:bookmarkStart w:id="417" w:name="Bookmark_I5FNG9RB2SF8S20050000400_2"/>
      <w:bookmarkEnd w:id="417"/>
      <w:r>
        <w:rPr>
          <w:rFonts w:ascii="arial" w:eastAsia="arial" w:hAnsi="arial" w:cs="arial"/>
          <w:b w:val="0"/>
          <w:i w:val="0"/>
          <w:strike w:val="0"/>
          <w:noProof w:val="0"/>
          <w:color w:val="000000"/>
          <w:position w:val="0"/>
          <w:sz w:val="20"/>
          <w:u w:val="none"/>
          <w:vertAlign w:val="baseline"/>
        </w:rPr>
        <w:t>Indeed, it is very widely recognized as an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"almost universal rule that statutes are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addressed to the future, not to the past." </w:t>
      </w:r>
      <w:bookmarkStart w:id="418" w:name="Bookmark_I5FNG9RB2SF8S20040000400"/>
      <w:bookmarkEnd w:id="418"/>
      <w:hyperlink r:id="rId133" w:history="1">
        <w:r>
          <w:rPr>
            <w:rFonts w:ascii="arial" w:eastAsia="arial" w:hAnsi="arial" w:cs="arial"/>
            <w:b w:val="0"/>
            <w:i/>
            <w:strike w:val="0"/>
            <w:noProof w:val="0"/>
            <w:color w:val="0077CC"/>
            <w:position w:val="0"/>
            <w:sz w:val="20"/>
            <w:u w:val="single"/>
            <w:vertAlign w:val="baseline"/>
          </w:rPr>
          <w:t>Winfree v. N. Pac. Ry</w:t>
        </w:r>
      </w:hyperlink>
      <w:hyperlink r:id="rId133" w:history="1">
        <w:r>
          <w:rPr>
            <w:rFonts w:ascii="arial" w:eastAsia="arial" w:hAnsi="arial" w:cs="arial"/>
            <w:b w:val="0"/>
            <w:i/>
            <w:strike w:val="0"/>
            <w:noProof w:val="0"/>
            <w:color w:val="0077CC"/>
            <w:position w:val="0"/>
            <w:sz w:val="20"/>
            <w:u w:val="single"/>
            <w:vertAlign w:val="baseline"/>
          </w:rPr>
          <w:t>., 227 U.S. 296, 301, 33 S. Ct. 273, 57 L. Ed. 518 (1913)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absence of evidence of the Rhode Island legislature's intent to the contrary, I conclude that the law applies only prospectively. All indirect-purchaser claims under the Rhode Island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alleging overcharges before July 15, 2013 are dismissed. The motions to dismiss claims involving Rhode Island indirect purchases are denied, however, with respect to alleged overcharges incurred after that date.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Intrastate Conduct or Effects Requirements</w:t>
      </w:r>
    </w:p>
    <w:p>
      <w:pPr>
        <w:keepNext w:val="0"/>
        <w:widowControl w:val="0"/>
        <w:spacing w:before="240" w:after="0" w:line="260" w:lineRule="atLeast"/>
        <w:ind w:left="0" w:right="0" w:firstLine="0"/>
        <w:jc w:val="both"/>
      </w:pPr>
      <w:bookmarkStart w:id="419" w:name="Bookmark_para_68"/>
      <w:bookmarkEnd w:id="419"/>
      <w:bookmarkStart w:id="420" w:name="Bookmark_I5FNG9SR2HM6RC0020000400"/>
      <w:bookmarkEnd w:id="420"/>
      <w:r>
        <w:rPr>
          <w:rFonts w:ascii="arial" w:eastAsia="arial" w:hAnsi="arial" w:cs="arial"/>
          <w:b w:val="0"/>
          <w:i w:val="0"/>
          <w:strike w:val="0"/>
          <w:noProof w:val="0"/>
          <w:color w:val="000000"/>
          <w:position w:val="0"/>
          <w:sz w:val="20"/>
          <w:u w:val="none"/>
          <w:vertAlign w:val="baseline"/>
        </w:rPr>
        <w:t xml:space="preserve">The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Mississippi, New York, Tennessee, Wisconsin, and the District of Columbia "require that the challenged conduct take place, or that its effects occur, purely or primarily within the state" (doc. # 151-1, p.31).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None of the cited statutes contains so categorical a limitation by its plain text, however. It is true that all of the claims essentially allege national anticompetitive conduct, but it is not obvious why the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effect of anticompetitive conduct would not be reached by the cited statutes merely because </w:t>
      </w:r>
      <w:r>
        <w:rPr>
          <w:rFonts w:ascii="arial" w:eastAsia="arial" w:hAnsi="arial" w:cs="arial"/>
          <w:b w:val="0"/>
          <w:i/>
          <w:strike w:val="0"/>
          <w:noProof w:val="0"/>
          <w:color w:val="000000"/>
          <w:position w:val="0"/>
          <w:sz w:val="20"/>
          <w:u w:val="none"/>
          <w:vertAlign w:val="baseline"/>
        </w:rPr>
        <w:t>interstate</w:t>
      </w:r>
      <w:r>
        <w:rPr>
          <w:rFonts w:ascii="arial" w:eastAsia="arial" w:hAnsi="arial" w:cs="arial"/>
          <w:b w:val="0"/>
          <w:i w:val="0"/>
          <w:strike w:val="0"/>
          <w:noProof w:val="0"/>
          <w:color w:val="000000"/>
          <w:position w:val="0"/>
          <w:sz w:val="20"/>
          <w:u w:val="none"/>
          <w:vertAlign w:val="baseline"/>
        </w:rPr>
        <w:t xml:space="preserve"> conduct predominates. A few of the cases that the defendants cite include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dicta about the possibility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violating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or being preempted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e.g., </w:t>
      </w:r>
      <w:bookmarkStart w:id="422" w:name="Bookmark_I5FNG9SR2HM6RC0010000400"/>
      <w:bookmarkEnd w:id="422"/>
      <w:hyperlink r:id="rId134" w:history="1">
        <w:r>
          <w:rPr>
            <w:rFonts w:ascii="arial" w:eastAsia="arial" w:hAnsi="arial" w:cs="arial"/>
            <w:b w:val="0"/>
            <w:i/>
            <w:strike w:val="0"/>
            <w:noProof w:val="0"/>
            <w:color w:val="0077CC"/>
            <w:position w:val="0"/>
            <w:sz w:val="20"/>
            <w:u w:val="single"/>
            <w:vertAlign w:val="baseline"/>
          </w:rPr>
          <w:t>H-Quotient, Inc. v. Knight Trading Grp., Inc</w:t>
        </w:r>
      </w:hyperlink>
      <w:hyperlink r:id="rId134" w:history="1">
        <w:r>
          <w:rPr>
            <w:rFonts w:ascii="arial" w:eastAsia="arial" w:hAnsi="arial" w:cs="arial"/>
            <w:b w:val="0"/>
            <w:i/>
            <w:strike w:val="0"/>
            <w:noProof w:val="0"/>
            <w:color w:val="0077CC"/>
            <w:position w:val="0"/>
            <w:sz w:val="20"/>
            <w:u w:val="single"/>
            <w:vertAlign w:val="baseline"/>
          </w:rPr>
          <w:t>., No. 03 CIV. 5889 (DAB), 2005 U.S. Dist. LEXIS 1924, 2005 WL 323750, at *4 (S.D.N.Y. Feb. 9, 2005)</w:t>
        </w:r>
      </w:hyperlink>
      <w:r>
        <w:rPr>
          <w:rFonts w:ascii="arial" w:eastAsia="arial" w:hAnsi="arial" w:cs="arial"/>
          <w:b w:val="0"/>
          <w:i w:val="0"/>
          <w:strike w:val="0"/>
          <w:noProof w:val="0"/>
          <w:color w:val="000000"/>
          <w:position w:val="0"/>
          <w:sz w:val="20"/>
          <w:u w:val="none"/>
          <w:vertAlign w:val="baseline"/>
        </w:rPr>
        <w:t xml:space="preserve">; </w:t>
      </w:r>
      <w:bookmarkStart w:id="423" w:name="Bookmark_I5FNG9SR2HM6RC0030000400"/>
      <w:bookmarkEnd w:id="423"/>
      <w:hyperlink r:id="rId135" w:history="1">
        <w:r>
          <w:rPr>
            <w:rFonts w:ascii="arial" w:eastAsia="arial" w:hAnsi="arial" w:cs="arial"/>
            <w:b w:val="0"/>
            <w:i/>
            <w:strike w:val="0"/>
            <w:noProof w:val="0"/>
            <w:color w:val="0077CC"/>
            <w:position w:val="0"/>
            <w:sz w:val="20"/>
            <w:u w:val="single"/>
            <w:vertAlign w:val="baseline"/>
          </w:rPr>
          <w:t>Sun Dun, Inc. of Washington v. Coca-Cola Co</w:t>
        </w:r>
      </w:hyperlink>
      <w:hyperlink r:id="rId135" w:history="1">
        <w:r>
          <w:rPr>
            <w:rFonts w:ascii="arial" w:eastAsia="arial" w:hAnsi="arial" w:cs="arial"/>
            <w:b w:val="0"/>
            <w:i/>
            <w:strike w:val="0"/>
            <w:noProof w:val="0"/>
            <w:color w:val="0077CC"/>
            <w:position w:val="0"/>
            <w:sz w:val="20"/>
            <w:u w:val="single"/>
            <w:vertAlign w:val="baseline"/>
          </w:rPr>
          <w:t>., 740 F. Supp. 381, 396—97 (D. Md. 1990)</w:t>
        </w:r>
      </w:hyperlink>
      <w:r>
        <w:rPr>
          <w:rFonts w:ascii="arial" w:eastAsia="arial" w:hAnsi="arial" w:cs="arial"/>
          <w:b w:val="0"/>
          <w:i w:val="0"/>
          <w:strike w:val="0"/>
          <w:noProof w:val="0"/>
          <w:color w:val="000000"/>
          <w:position w:val="0"/>
          <w:sz w:val="20"/>
          <w:u w:val="none"/>
          <w:vertAlign w:val="baseline"/>
        </w:rPr>
        <w:t>, but the defendants do not make those arguments. I cannot conclude on the basis of the arguments that have been briefed that any claims should be dismissed for failure to allege "purely or primarily" intrastate conduct or effects.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Hawaii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bookmarkStart w:id="424" w:name="Bookmark_para_69"/>
      <w:bookmarkEnd w:id="424"/>
      <w:bookmarkStart w:id="425" w:name="Bookmark_LNHNREFclscc20"/>
      <w:bookmarkEnd w:id="425"/>
      <w:hyperlink r:id="rId1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has an "unfair or deceptive acts or practices" prong, and an "unfair methods of competition" prong.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Claims under the "unfair or deceptive acts or practices" prong can only be brought by "consumer[s], the attorney general or the director of the office of consumer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480-2(d)</w:t>
        </w:r>
      </w:hyperlink>
      <w:r>
        <w:rPr>
          <w:rFonts w:ascii="arial" w:eastAsia="arial" w:hAnsi="arial" w:cs="arial"/>
          <w:b w:val="0"/>
          <w:i w:val="0"/>
          <w:strike w:val="0"/>
          <w:noProof w:val="0"/>
          <w:color w:val="000000"/>
          <w:position w:val="0"/>
          <w:sz w:val="20"/>
          <w:u w:val="none"/>
          <w:vertAlign w:val="baseline"/>
        </w:rPr>
        <w:t>, and the indirect purchasers do not allege that they are any of those things. Claims under the "unfair methods of competition" prong are not limited in that way, but class actions brought under that prong require pre-suit notice to the state attorney general, who has a right of first refusal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bring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 480-13.3</w:t>
        </w:r>
      </w:hyperlink>
      <w:r>
        <w:rPr>
          <w:rFonts w:ascii="arial" w:eastAsia="arial" w:hAnsi="arial" w:cs="arial"/>
          <w:b w:val="0"/>
          <w:i w:val="0"/>
          <w:strike w:val="0"/>
          <w:noProof w:val="0"/>
          <w:color w:val="000000"/>
          <w:position w:val="0"/>
          <w:sz w:val="20"/>
          <w:u w:val="none"/>
          <w:vertAlign w:val="baseline"/>
        </w:rPr>
        <w:t>. The indirect purchasers do not allege that they have satisfied that requirement, either, but they argue that they need not follow such pre-filing requirements because they are merely procedural and not necessary to maintain a class action in federal court.</w:t>
      </w:r>
    </w:p>
    <w:p>
      <w:pPr>
        <w:keepNext w:val="0"/>
        <w:widowControl w:val="0"/>
        <w:spacing w:before="240" w:after="0" w:line="260" w:lineRule="atLeast"/>
        <w:ind w:left="0" w:right="0" w:firstLine="0"/>
        <w:jc w:val="both"/>
      </w:pPr>
      <w:bookmarkStart w:id="426" w:name="Bookmark_para_70"/>
      <w:bookmarkEnd w:id="426"/>
      <w:bookmarkStart w:id="427" w:name="Bookmark_I4969FYMJTJ000HF4VM00059"/>
      <w:bookmarkEnd w:id="427"/>
      <w:bookmarkStart w:id="428" w:name="Bookmark_I5FNG9ST28T49K0010000400"/>
      <w:bookmarkEnd w:id="428"/>
      <w:bookmarkStart w:id="429" w:name="Bookmark_I5FNG9ST28T49K0030000400"/>
      <w:bookmarkEnd w:id="429"/>
      <w:r>
        <w:rPr>
          <w:rFonts w:ascii="arial" w:eastAsia="arial" w:hAnsi="arial" w:cs="arial"/>
          <w:b w:val="0"/>
          <w:i w:val="0"/>
          <w:strike w:val="0"/>
          <w:noProof w:val="0"/>
          <w:color w:val="000000"/>
          <w:position w:val="0"/>
          <w:sz w:val="20"/>
          <w:u w:val="none"/>
          <w:vertAlign w:val="baseline"/>
        </w:rPr>
        <w:t xml:space="preserve">The parties differ in their analysis of the applicability of </w:t>
      </w:r>
      <w:bookmarkStart w:id="430" w:name="Bookmark_I5FNG9SR2HM6RC0050000400"/>
      <w:bookmarkEnd w:id="430"/>
      <w:hyperlink r:id="rId137" w:history="1">
        <w:r>
          <w:rPr>
            <w:rFonts w:ascii="arial" w:eastAsia="arial" w:hAnsi="arial" w:cs="arial"/>
            <w:b w:val="0"/>
            <w:i/>
            <w:strike w:val="0"/>
            <w:noProof w:val="0"/>
            <w:color w:val="0077CC"/>
            <w:position w:val="0"/>
            <w:sz w:val="20"/>
            <w:u w:val="single"/>
            <w:vertAlign w:val="baseline"/>
          </w:rPr>
          <w:t>Shady Grove Orthopedic Associates v. Allstate Ins. Co</w:t>
        </w:r>
      </w:hyperlink>
      <w:hyperlink r:id="rId137"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in which the Supreme Court held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applied in federal court to claims brought under New York law despite New York's general class action bar. It is difficult to isolate a holding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that is much broader than that, because the holding was announced by Justice Scalia in an opinion that garnered a majority only in part and a plurality in part. The fifth vote for the judgment was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provided by Justice Stevens, who wrote a separate concurrence. </w:t>
      </w:r>
      <w:bookmarkStart w:id="431" w:name="Bookmark_I5FNG9ST28T49K0050000400"/>
      <w:bookmarkEnd w:id="431"/>
      <w:r>
        <w:rPr>
          <w:rFonts w:ascii="arial" w:eastAsia="arial" w:hAnsi="arial" w:cs="arial"/>
          <w:b w:val="0"/>
          <w:i w:val="0"/>
          <w:strike w:val="0"/>
          <w:noProof w:val="0"/>
          <w:color w:val="000000"/>
          <w:position w:val="0"/>
          <w:sz w:val="20"/>
          <w:u w:val="none"/>
          <w:vertAlign w:val="baseline"/>
        </w:rPr>
        <w:t xml:space="preserve">When no single rationale garners a majority, the holding of the Court is "that position taken by those Members who concurred in the judgments on the narrowest grounds." </w:t>
      </w:r>
      <w:bookmarkStart w:id="432" w:name="Bookmark_I5FNG9ST28T49K0020000400"/>
      <w:bookmarkEnd w:id="432"/>
      <w:hyperlink r:id="rId138" w:history="1">
        <w:r>
          <w:rPr>
            <w:rFonts w:ascii="arial" w:eastAsia="arial" w:hAnsi="arial" w:cs="arial"/>
            <w:b w:val="0"/>
            <w:i/>
            <w:strike w:val="0"/>
            <w:noProof w:val="0"/>
            <w:color w:val="0077CC"/>
            <w:position w:val="0"/>
            <w:sz w:val="20"/>
            <w:u w:val="single"/>
            <w:vertAlign w:val="baseline"/>
          </w:rPr>
          <w:t>Marks v. United States</w:t>
        </w:r>
      </w:hyperlink>
      <w:hyperlink r:id="rId138" w:history="1">
        <w:r>
          <w:rPr>
            <w:rFonts w:ascii="arial" w:eastAsia="arial" w:hAnsi="arial" w:cs="arial"/>
            <w:b w:val="0"/>
            <w:i/>
            <w:strike w:val="0"/>
            <w:noProof w:val="0"/>
            <w:color w:val="0077CC"/>
            <w:position w:val="0"/>
            <w:sz w:val="20"/>
            <w:u w:val="single"/>
            <w:vertAlign w:val="baseline"/>
          </w:rPr>
          <w:t>, 430 U.S. 188, 193, 97 S. Ct. 990, 51 L. Ed. 2d 260 (1977)</w:t>
        </w:r>
      </w:hyperlink>
      <w:r>
        <w:rPr>
          <w:rFonts w:ascii="arial" w:eastAsia="arial" w:hAnsi="arial" w:cs="arial"/>
          <w:b w:val="0"/>
          <w:i w:val="0"/>
          <w:strike w:val="0"/>
          <w:noProof w:val="0"/>
          <w:color w:val="000000"/>
          <w:position w:val="0"/>
          <w:sz w:val="20"/>
          <w:u w:val="none"/>
          <w:vertAlign w:val="baseline"/>
        </w:rPr>
        <w:t xml:space="preserve">. The indirect purchasers argue for an expansive application of Justice Scalia's opinion, which would broadly eliminate state class-action restrictions in federal court. </w:t>
      </w:r>
      <w:bookmarkStart w:id="433" w:name="Bookmark_I5FNG9ST28T49K0050000400_2"/>
      <w:bookmarkEnd w:id="433"/>
      <w:r>
        <w:rPr>
          <w:rFonts w:ascii="arial" w:eastAsia="arial" w:hAnsi="arial" w:cs="arial"/>
          <w:b w:val="0"/>
          <w:i w:val="0"/>
          <w:strike w:val="0"/>
          <w:noProof w:val="0"/>
          <w:color w:val="000000"/>
          <w:position w:val="0"/>
          <w:sz w:val="20"/>
          <w:u w:val="none"/>
          <w:vertAlign w:val="baseline"/>
        </w:rPr>
        <w:t>The defendants argue that the holding is narrowed by the scope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Justice Steven's concurrence, which would allow state procedural rules to control in federal court when they are "part of a State's framework of substantive rights or remedies." </w:t>
      </w:r>
      <w:bookmarkStart w:id="434" w:name="Bookmark_I5FNG9ST28T49K0040000400"/>
      <w:bookmarkEnd w:id="434"/>
      <w:hyperlink r:id="rId137" w:history="1">
        <w:r>
          <w:rPr>
            <w:rFonts w:ascii="arial" w:eastAsia="arial" w:hAnsi="arial" w:cs="arial"/>
            <w:b w:val="0"/>
            <w:i/>
            <w:strike w:val="0"/>
            <w:noProof w:val="0"/>
            <w:color w:val="0077CC"/>
            <w:position w:val="0"/>
            <w:sz w:val="20"/>
            <w:u w:val="single"/>
            <w:vertAlign w:val="baseline"/>
          </w:rPr>
          <w:t>Shady Grove</w:t>
        </w:r>
      </w:hyperlink>
      <w:hyperlink r:id="rId137" w:history="1">
        <w:r>
          <w:rPr>
            <w:rFonts w:ascii="arial" w:eastAsia="arial" w:hAnsi="arial" w:cs="arial"/>
            <w:b w:val="0"/>
            <w:i/>
            <w:strike w:val="0"/>
            <w:noProof w:val="0"/>
            <w:color w:val="0077CC"/>
            <w:position w:val="0"/>
            <w:sz w:val="20"/>
            <w:u w:val="single"/>
            <w:vertAlign w:val="baseline"/>
          </w:rPr>
          <w:t>, 559 U.S. at 419</w:t>
        </w:r>
      </w:hyperlink>
      <w:r>
        <w:rPr>
          <w:rFonts w:ascii="arial" w:eastAsia="arial" w:hAnsi="arial" w:cs="arial"/>
          <w:b w:val="0"/>
          <w:i w:val="0"/>
          <w:strike w:val="0"/>
          <w:noProof w:val="0"/>
          <w:color w:val="000000"/>
          <w:position w:val="0"/>
          <w:sz w:val="20"/>
          <w:u w:val="none"/>
          <w:vertAlign w:val="baseline"/>
        </w:rPr>
        <w:t xml:space="preserve"> (Stevens, J., concurring).</w:t>
      </w:r>
    </w:p>
    <w:p>
      <w:pPr>
        <w:keepNext w:val="0"/>
        <w:widowControl w:val="0"/>
        <w:spacing w:before="240" w:after="0" w:line="260" w:lineRule="atLeast"/>
        <w:ind w:left="0" w:right="0" w:firstLine="0"/>
        <w:jc w:val="both"/>
      </w:pPr>
      <w:bookmarkStart w:id="435" w:name="Bookmark_para_71"/>
      <w:bookmarkEnd w:id="435"/>
      <w:r>
        <w:rPr>
          <w:rFonts w:ascii="arial" w:eastAsia="arial" w:hAnsi="arial" w:cs="arial"/>
          <w:b w:val="0"/>
          <w:i w:val="0"/>
          <w:strike w:val="0"/>
          <w:noProof w:val="0"/>
          <w:color w:val="000000"/>
          <w:position w:val="0"/>
          <w:sz w:val="20"/>
          <w:u w:val="none"/>
          <w:vertAlign w:val="baseline"/>
        </w:rPr>
        <w:t xml:space="preserve">The defendants point out that many courts have adopted Justice Stevens's concurrence or found it to be controlling, and that they have held that state class-action bars apply in federal court if they are part of a state statute's substantive scope. The defendants have not, however, offered any authority for that conclusion as applied to Hawaii's law, or argued persuasively that the class-action prerequisites that it contains are part of Hawaii's "framework of substantive rights or remedies." </w:t>
      </w:r>
      <w:bookmarkStart w:id="436" w:name="Bookmark_LNHNREFclscc21"/>
      <w:bookmarkEnd w:id="436"/>
      <w:hyperlink r:id="rId139"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From the language of the statute itself, it does not appear, for instance, to create a substantive right to recovery that only "vests" after some action or inaction of the state attorney general. Rather, it creates a right to "bring an action based on unfair methods of competition" in </w:t>
      </w:r>
      <w:hyperlink r:id="rId44" w:history="1">
        <w:r>
          <w:rPr>
            <w:rFonts w:ascii="arial" w:eastAsia="arial" w:hAnsi="arial" w:cs="arial"/>
            <w:b w:val="0"/>
            <w:i/>
            <w:strike w:val="0"/>
            <w:noProof w:val="0"/>
            <w:color w:val="0077CC"/>
            <w:position w:val="0"/>
            <w:sz w:val="20"/>
            <w:u w:val="single"/>
            <w:vertAlign w:val="baseline"/>
          </w:rPr>
          <w:t>section 480-2</w:t>
        </w:r>
      </w:hyperlink>
      <w:r>
        <w:rPr>
          <w:rFonts w:ascii="arial" w:eastAsia="arial" w:hAnsi="arial" w:cs="arial"/>
          <w:b w:val="0"/>
          <w:i w:val="0"/>
          <w:strike w:val="0"/>
          <w:noProof w:val="0"/>
          <w:color w:val="000000"/>
          <w:position w:val="0"/>
          <w:sz w:val="20"/>
          <w:u w:val="none"/>
          <w:vertAlign w:val="baseline"/>
        </w:rPr>
        <w:t xml:space="preserve">, without any reference to notice, and delineates procedural prerequisites for class actions under the chapter in </w:t>
      </w:r>
      <w:hyperlink r:id="rId45" w:history="1">
        <w:r>
          <w:rPr>
            <w:rFonts w:ascii="arial" w:eastAsia="arial" w:hAnsi="arial" w:cs="arial"/>
            <w:b w:val="0"/>
            <w:i/>
            <w:strike w:val="0"/>
            <w:noProof w:val="0"/>
            <w:color w:val="0077CC"/>
            <w:position w:val="0"/>
            <w:sz w:val="20"/>
            <w:u w:val="single"/>
            <w:vertAlign w:val="baseline"/>
          </w:rPr>
          <w:t>section 480-13.3</w:t>
        </w:r>
      </w:hyperlink>
      <w:r>
        <w:rPr>
          <w:rFonts w:ascii="arial" w:eastAsia="arial" w:hAnsi="arial" w:cs="arial"/>
          <w:b w:val="0"/>
          <w:i w:val="0"/>
          <w:strike w:val="0"/>
          <w:noProof w:val="0"/>
          <w:color w:val="000000"/>
          <w:position w:val="0"/>
          <w:sz w:val="20"/>
          <w:u w:val="none"/>
          <w:vertAlign w:val="baseline"/>
        </w:rPr>
        <w:t>. The defendants offer nothing from the legislative history or otherwise to complicate that plain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reading. I need not wade any deeper into the difficult problem of what part of the reasoning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is or is not controlling, because I cannot conclude on the basis of the arguments before me that the </w:t>
      </w:r>
      <w:hyperlink r:id="rId45" w:history="1">
        <w:r>
          <w:rPr>
            <w:rFonts w:ascii="arial" w:eastAsia="arial" w:hAnsi="arial" w:cs="arial"/>
            <w:b w:val="0"/>
            <w:i/>
            <w:strike w:val="0"/>
            <w:noProof w:val="0"/>
            <w:color w:val="0077CC"/>
            <w:position w:val="0"/>
            <w:sz w:val="20"/>
            <w:u w:val="single"/>
            <w:vertAlign w:val="baseline"/>
          </w:rPr>
          <w:t>section 480-13.3</w:t>
        </w:r>
      </w:hyperlink>
      <w:r>
        <w:rPr>
          <w:rFonts w:ascii="arial" w:eastAsia="arial" w:hAnsi="arial" w:cs="arial"/>
          <w:b w:val="0"/>
          <w:i w:val="0"/>
          <w:strike w:val="0"/>
          <w:noProof w:val="0"/>
          <w:color w:val="000000"/>
          <w:position w:val="0"/>
          <w:sz w:val="20"/>
          <w:u w:val="none"/>
          <w:vertAlign w:val="baseline"/>
        </w:rPr>
        <w:t xml:space="preserve"> procedural prerequisites are sufficiently a "part of a State's framework of substantive rights or remedies" to be controlling in federal court even under the Stevens concurrence.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State Consumer-Protection and Unjust-Enrichment Claims</w:t>
      </w:r>
    </w:p>
    <w:p>
      <w:pPr>
        <w:keepNext w:val="0"/>
        <w:widowControl w:val="0"/>
        <w:spacing w:before="200" w:after="0" w:line="260" w:lineRule="atLeast"/>
        <w:ind w:left="0" w:right="0" w:firstLine="0"/>
        <w:jc w:val="both"/>
      </w:pPr>
      <w:bookmarkStart w:id="437" w:name="Bookmark_para_72"/>
      <w:bookmarkEnd w:id="437"/>
      <w:r>
        <w:rPr>
          <w:rFonts w:ascii="arial" w:eastAsia="arial" w:hAnsi="arial" w:cs="arial"/>
          <w:b w:val="0"/>
          <w:i w:val="0"/>
          <w:strike w:val="0"/>
          <w:noProof w:val="0"/>
          <w:color w:val="000000"/>
          <w:position w:val="0"/>
          <w:sz w:val="20"/>
          <w:u w:val="none"/>
          <w:vertAlign w:val="baseline"/>
        </w:rPr>
        <w:t xml:space="preserve">The defendants make many arguments that the unjust-enrichment claims and the claims brought under state consumer-protection or unfair-trade-practices laws should be dismissed. Some of those arguments apply to all such claims, others to particular subsets, and still others to the laws of individual states. They argue, for instance, that some state consumer-protection laws require pleading consumer deception or reliance; that some require pleading a specific consumer-oriented transaction or "nexus"; that some have been expressly held inapplicable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that some only allow suits in a consumer capacity; that some have unsatisfied pre-filing notice requirements; that some states require privity, a quasi-contractual or special relationship,</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or the absence of an adequate remedy at law in order to sustain the equitable remedy of an unjust-enrichment claim; and even that some states listed in the pleadings do not recognize an independent claim of unjust enrichment at all. The indirect payers and Humana respond with particular state-by-state arguments and caselaw, and the defendants reply with still more, disputing among themselves, for instance, whether particular states do or do not recognize independent unjust-enrichment claims, or whether there is a split of authority among California courts on whether a nonsemantic distinction exists between unjust enrichment, restitution, and quasi-contract (doc. # 182, p.66; doc. # 215, pp. 15—16).</w:t>
      </w:r>
    </w:p>
    <w:p>
      <w:pPr>
        <w:keepNext w:val="0"/>
        <w:widowControl w:val="0"/>
        <w:spacing w:before="200" w:after="0" w:line="260" w:lineRule="atLeast"/>
        <w:ind w:left="0" w:right="0" w:firstLine="0"/>
        <w:jc w:val="both"/>
      </w:pPr>
      <w:bookmarkStart w:id="438" w:name="Bookmark_para_73"/>
      <w:bookmarkEnd w:id="438"/>
      <w:bookmarkStart w:id="439" w:name="Bookmark_I5FNG9ST28T49M0020000400"/>
      <w:bookmarkEnd w:id="439"/>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Most of the defendants' arguments on this point can be reduced essentially to the assertion that the plaintiffs are not </w:t>
      </w:r>
      <w:r>
        <w:rPr>
          <w:rFonts w:ascii="arial" w:eastAsia="arial" w:hAnsi="arial" w:cs="arial"/>
          <w:b w:val="0"/>
          <w:i/>
          <w:strike w:val="0"/>
          <w:noProof w:val="0"/>
          <w:color w:val="000000"/>
          <w:position w:val="0"/>
          <w:sz w:val="20"/>
          <w:u w:val="none"/>
          <w:vertAlign w:val="baseline"/>
        </w:rPr>
        <w:t>really</w:t>
      </w:r>
      <w:r>
        <w:rPr>
          <w:rFonts w:ascii="arial" w:eastAsia="arial" w:hAnsi="arial" w:cs="arial"/>
          <w:b w:val="0"/>
          <w:i w:val="0"/>
          <w:strike w:val="0"/>
          <w:noProof w:val="0"/>
          <w:color w:val="000000"/>
          <w:position w:val="0"/>
          <w:sz w:val="20"/>
          <w:u w:val="none"/>
          <w:vertAlign w:val="baseline"/>
        </w:rPr>
        <w:t xml:space="preserve"> pleading violations of all those state laws, which have various restrictions they ignore, because they are pleading a nation-wide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plaintiffs' argument in response is essentially that the state laws are exceedingly broad, the statutory ones generally written "in the disjunctive," and that they cover, very generally, all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acts, </w:t>
      </w:r>
      <w:r>
        <w:rPr>
          <w:rFonts w:ascii="arial" w:eastAsia="arial" w:hAnsi="arial" w:cs="arial"/>
          <w:b w:val="0"/>
          <w:i/>
          <w:strike w:val="0"/>
          <w:noProof w:val="0"/>
          <w:color w:val="000000"/>
          <w:position w:val="0"/>
          <w:sz w:val="20"/>
          <w:u w:val="none"/>
          <w:vertAlign w:val="baseline"/>
        </w:rPr>
        <w:t>unfair</w:t>
      </w:r>
      <w:r>
        <w:rPr>
          <w:rFonts w:ascii="arial" w:eastAsia="arial" w:hAnsi="arial" w:cs="arial"/>
          <w:b w:val="0"/>
          <w:i w:val="0"/>
          <w:strike w:val="0"/>
          <w:noProof w:val="0"/>
          <w:color w:val="000000"/>
          <w:position w:val="0"/>
          <w:sz w:val="20"/>
          <w:u w:val="none"/>
          <w:vertAlign w:val="baseline"/>
        </w:rPr>
        <w:t xml:space="preserve"> practices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unconscionable</w:t>
      </w:r>
      <w:r>
        <w:rPr>
          <w:rFonts w:ascii="arial" w:eastAsia="arial" w:hAnsi="arial" w:cs="arial"/>
          <w:b w:val="0"/>
          <w:i w:val="0"/>
          <w:strike w:val="0"/>
          <w:noProof w:val="0"/>
          <w:color w:val="000000"/>
          <w:position w:val="0"/>
          <w:sz w:val="20"/>
          <w:u w:val="none"/>
          <w:vertAlign w:val="baseline"/>
        </w:rPr>
        <w:t xml:space="preserve"> acts" (doc. # 182, p.35). The defendants' arguments are persuasive on many particular points, but the more pressing issue is the broader one. The indirect purchasers and Humana have </w:t>
      </w:r>
      <w:r>
        <w:rPr>
          <w:rFonts w:ascii="arial" w:eastAsia="arial" w:hAnsi="arial" w:cs="arial"/>
          <w:b w:val="0"/>
          <w:i/>
          <w:strike w:val="0"/>
          <w:noProof w:val="0"/>
          <w:color w:val="000000"/>
          <w:position w:val="0"/>
          <w:sz w:val="20"/>
          <w:u w:val="none"/>
          <w:vertAlign w:val="baseline"/>
        </w:rPr>
        <w:t>listed</w:t>
      </w:r>
      <w:r>
        <w:rPr>
          <w:rFonts w:ascii="arial" w:eastAsia="arial" w:hAnsi="arial" w:cs="arial"/>
          <w:b w:val="0"/>
          <w:i w:val="0"/>
          <w:strike w:val="0"/>
          <w:noProof w:val="0"/>
          <w:color w:val="000000"/>
          <w:position w:val="0"/>
          <w:sz w:val="20"/>
          <w:u w:val="none"/>
          <w:vertAlign w:val="baseline"/>
        </w:rPr>
        <w:t xml:space="preserve"> claims under very many state laws, but they have not truly </w:t>
      </w:r>
      <w:r>
        <w:rPr>
          <w:rFonts w:ascii="arial" w:eastAsia="arial" w:hAnsi="arial" w:cs="arial"/>
          <w:b w:val="0"/>
          <w:i/>
          <w:strike w:val="0"/>
          <w:noProof w:val="0"/>
          <w:color w:val="000000"/>
          <w:position w:val="0"/>
          <w:sz w:val="20"/>
          <w:u w:val="none"/>
          <w:vertAlign w:val="baseline"/>
        </w:rPr>
        <w:t>pleaded</w:t>
      </w:r>
      <w:r>
        <w:rPr>
          <w:rFonts w:ascii="arial" w:eastAsia="arial" w:hAnsi="arial" w:cs="arial"/>
          <w:b w:val="0"/>
          <w:i w:val="0"/>
          <w:strike w:val="0"/>
          <w:noProof w:val="0"/>
          <w:color w:val="000000"/>
          <w:position w:val="0"/>
          <w:sz w:val="20"/>
          <w:u w:val="none"/>
          <w:vertAlign w:val="baseline"/>
        </w:rPr>
        <w:t xml:space="preserve"> claims under those laws sufficient to show their entitlement to recovery under them, as required by </w:t>
      </w:r>
      <w:hyperlink r:id="rId14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40" w:name="Bookmark_I5FNG9ST28T49M0010000400"/>
      <w:bookmarkEnd w:id="440"/>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41" w:name="Bookmark_LNHNREFclscc22"/>
      <w:bookmarkEnd w:id="441"/>
      <w:hyperlink r:id="rId14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pleading that offers labels and conclusions or formulaic recitation of the elements of a cause of action will not do."). Rather, they have pleaded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factual foundation for them, viable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and they merely allege that those claims are also actionable under general consumer-protection laws and as unjust enrichment.</w:t>
      </w:r>
    </w:p>
    <w:p>
      <w:pPr>
        <w:keepNext w:val="0"/>
        <w:widowControl w:val="0"/>
        <w:spacing w:before="240" w:after="0" w:line="260" w:lineRule="atLeast"/>
        <w:ind w:left="0" w:right="0" w:firstLine="0"/>
        <w:jc w:val="both"/>
      </w:pPr>
      <w:bookmarkStart w:id="442" w:name="Bookmark_para_74"/>
      <w:bookmarkEnd w:id="442"/>
      <w:r>
        <w:rPr>
          <w:rFonts w:ascii="arial" w:eastAsia="arial" w:hAnsi="arial" w:cs="arial"/>
          <w:b w:val="0"/>
          <w:i w:val="0"/>
          <w:strike w:val="0"/>
          <w:noProof w:val="0"/>
          <w:color w:val="000000"/>
          <w:position w:val="0"/>
          <w:sz w:val="20"/>
          <w:u w:val="none"/>
          <w:vertAlign w:val="baseline"/>
        </w:rPr>
        <w:t>The indirect-purchaser complaint, for instance, includes a paragraph alleging that the defendants "have violated the following state unfair trade practices and consumer fraud laws," followed by twenty-five subparagraphs, each of which begins "[d]efendants have engaged in unfair competition or unfair acts or practices in violation of" and ends with a citation to a different state's statute, with no elaboration (doc. # 120, ¶ 204). The same complaint includes a paragraph</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begins "[i]t would be inequitable under unjust enrichment principles under the laws of" and then lists forty-eight states, the District of Columbia, and Puerto Rico before finishing the sentence, the end of which is similarly bare and conclusory (¶ 214). The Humana complaint fares no better. </w:t>
      </w:r>
      <w:bookmarkStart w:id="443" w:name="Bookmark_I5FNG9ST28T49M0040000400"/>
      <w:bookmarkEnd w:id="443"/>
      <w:r>
        <w:rPr>
          <w:rFonts w:ascii="arial" w:eastAsia="arial" w:hAnsi="arial" w:cs="arial"/>
          <w:b w:val="0"/>
          <w:i w:val="0"/>
          <w:strike w:val="0"/>
          <w:noProof w:val="0"/>
          <w:color w:val="000000"/>
          <w:position w:val="0"/>
          <w:sz w:val="20"/>
          <w:u w:val="none"/>
          <w:vertAlign w:val="baseline"/>
        </w:rPr>
        <w:t xml:space="preserve">For instance, it begins each of paragraphs 142 through 178 with the words "[d]efendants have engaged in unfair competition or unfair, deceptive or fraudulent acts or practices in violation of" followed by a citation to a different state's statute, again with no elaboration (doc. # 93). Even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partly take this copy-and-paste form that simply assumes that every one of the many cited statutes is the functional equivalent of the rest, but at least those claims benefit from the very extensive pleading of factual allegations to show entitlement to relief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pleadings fail not only to account for any consequential differences that may exist among the undifferentiated state-law claims, but they fail to show that any but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entitle the plaintiffs to relief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bald assertion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violates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dozens of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implication that there are no consequential differences between those laws, is not entitled to deference, because "the tenet that a court must accept as true all of the allegations contained in a complaint is inapplicable to legal conclusions." </w:t>
      </w:r>
      <w:bookmarkStart w:id="444" w:name="Bookmark_I5FNG9ST28T49M0030000400"/>
      <w:bookmarkEnd w:id="444"/>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75"/>
      <w:bookmarkEnd w:id="445"/>
      <w:r>
        <w:rPr>
          <w:rFonts w:ascii="arial" w:eastAsia="arial" w:hAnsi="arial" w:cs="arial"/>
          <w:b w:val="0"/>
          <w:i w:val="0"/>
          <w:strike w:val="0"/>
          <w:noProof w:val="0"/>
          <w:color w:val="000000"/>
          <w:position w:val="0"/>
          <w:sz w:val="20"/>
          <w:u w:val="none"/>
          <w:vertAlign w:val="baseline"/>
        </w:rPr>
        <w:t xml:space="preserve">The problem for the indirect purchasers is that the indirect-purchaser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blocks them from recovery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an effort to get in on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game, they attempt to build a Frankensteinian equivalent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reach the very same conduct but without that formidable obstacle, by stitching together a hodge-podge of state-law claims. But the plaintiffs cannot simply enumerate a long list of state-law claims for states where they might otherwise have no available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and rely on the defendants and the court to sort out whether or how those laws can act as surrogates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 need not rule on the many particular arguments the defendants make for individual state claims or subsets of them, because the indirect-purchaser plaintiffs and Humana have not pleaded state-law consumer-protection or unjust-enrichment claims sufficient to satisfy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The defendants' motions to dismiss are granted with respect to all such claims, without prejudice to repleading in nonconclusory fashion.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Personal Jurisdiction Over Teva Israel</w:t>
      </w:r>
    </w:p>
    <w:p>
      <w:pPr>
        <w:keepNext w:val="0"/>
        <w:widowControl w:val="0"/>
        <w:spacing w:before="240" w:after="0" w:line="260" w:lineRule="atLeast"/>
        <w:ind w:left="0" w:right="0" w:firstLine="0"/>
        <w:jc w:val="both"/>
      </w:pPr>
      <w:bookmarkStart w:id="446" w:name="Bookmark_para_76"/>
      <w:bookmarkEnd w:id="446"/>
      <w:r>
        <w:rPr>
          <w:rFonts w:ascii="arial" w:eastAsia="arial" w:hAnsi="arial" w:cs="arial"/>
          <w:b w:val="0"/>
          <w:i w:val="0"/>
          <w:strike w:val="0"/>
          <w:noProof w:val="0"/>
          <w:color w:val="000000"/>
          <w:position w:val="0"/>
          <w:sz w:val="20"/>
          <w:u w:val="none"/>
          <w:vertAlign w:val="baseline"/>
        </w:rPr>
        <w:t xml:space="preserve">Teva Israel moves under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to dismiss all claims against it for lack of personal jurisdiction. </w:t>
      </w:r>
      <w:bookmarkStart w:id="447" w:name="Bookmark_I5FNG9ST2D6MWB0010000400"/>
      <w:bookmarkEnd w:id="447"/>
      <w:r>
        <w:rPr>
          <w:rFonts w:ascii="arial" w:eastAsia="arial" w:hAnsi="arial" w:cs="arial"/>
          <w:b w:val="0"/>
          <w:i w:val="0"/>
          <w:strike w:val="0"/>
          <w:noProof w:val="0"/>
          <w:color w:val="000000"/>
          <w:position w:val="0"/>
          <w:sz w:val="20"/>
          <w:u w:val="none"/>
          <w:vertAlign w:val="baseline"/>
        </w:rPr>
        <w:t xml:space="preserve">It emphasizes that it is an Israeli company with no direct physical or corporate presence in the United States, and that it and its American subsidiaries vigorously maintain corporate formalities. The settlement agreement that is the subject of the plaintiffs' allegations was formed between Boehringer and Barr prior to Teva USA's acquisition of Barr, so no Teva entity was a party to it. And the presence of a subsidiary alone is not sufficient to establish personal jurisdiction over the parent company. </w:t>
      </w:r>
      <w:r>
        <w:rPr>
          <w:rFonts w:ascii="arial" w:eastAsia="arial" w:hAnsi="arial" w:cs="arial"/>
          <w:b w:val="0"/>
          <w:i/>
          <w:strike w:val="0"/>
          <w:noProof w:val="0"/>
          <w:color w:val="000000"/>
          <w:position w:val="0"/>
          <w:sz w:val="20"/>
          <w:u w:val="none"/>
          <w:vertAlign w:val="baseline"/>
        </w:rPr>
        <w:t xml:space="preserve">See </w:t>
      </w:r>
      <w:bookmarkStart w:id="448" w:name="Bookmark_I5FNG9ST28T49M0050000400"/>
      <w:bookmarkEnd w:id="448"/>
      <w:hyperlink r:id="rId142" w:history="1">
        <w:r>
          <w:rPr>
            <w:rFonts w:ascii="arial" w:eastAsia="arial" w:hAnsi="arial" w:cs="arial"/>
            <w:b w:val="0"/>
            <w:i/>
            <w:strike w:val="0"/>
            <w:noProof w:val="0"/>
            <w:color w:val="0077CC"/>
            <w:position w:val="0"/>
            <w:sz w:val="20"/>
            <w:u w:val="single"/>
            <w:vertAlign w:val="baseline"/>
          </w:rPr>
          <w:t>Jazini v. Motor Co</w:t>
        </w:r>
      </w:hyperlink>
      <w:hyperlink r:id="rId142" w:history="1">
        <w:r>
          <w:rPr>
            <w:rFonts w:ascii="arial" w:eastAsia="arial" w:hAnsi="arial" w:cs="arial"/>
            <w:b w:val="0"/>
            <w:i/>
            <w:strike w:val="0"/>
            <w:noProof w:val="0"/>
            <w:color w:val="0077CC"/>
            <w:position w:val="0"/>
            <w:sz w:val="20"/>
            <w:u w:val="single"/>
            <w:vertAlign w:val="baseline"/>
          </w:rPr>
          <w:t>., 148 F. 3d 181 (2d Cir. 1998)</w:t>
        </w:r>
      </w:hyperlink>
      <w:r>
        <w:rPr>
          <w:rFonts w:ascii="arial" w:eastAsia="arial" w:hAnsi="arial" w:cs="arial"/>
          <w:b w:val="0"/>
          <w:i w:val="0"/>
          <w:strike w:val="0"/>
          <w:noProof w:val="0"/>
          <w:color w:val="000000"/>
          <w:position w:val="0"/>
          <w:sz w:val="20"/>
          <w:u w:val="none"/>
          <w:vertAlign w:val="baseline"/>
        </w:rPr>
        <w:t>. Teva Israel therefore argues that, even if all the plaintiffs' allegations are true regarding the liability of the other defendants, and even if Teva USA is liable as a successor to Barr, the mere fact of Teva Israel's ownership of Teva USA is not sufficient to subject Teva Israel to personal jurisdiction in this case.</w:t>
      </w:r>
    </w:p>
    <w:p>
      <w:pPr>
        <w:keepNext w:val="0"/>
        <w:widowControl w:val="0"/>
        <w:spacing w:before="200" w:after="0" w:line="260" w:lineRule="atLeast"/>
        <w:ind w:left="0" w:right="0" w:firstLine="0"/>
        <w:jc w:val="both"/>
      </w:pPr>
      <w:bookmarkStart w:id="449" w:name="Bookmark_para_77"/>
      <w:bookmarkEnd w:id="449"/>
      <w:bookmarkStart w:id="450" w:name="Bookmark_LNHNREFclscc23"/>
      <w:bookmarkEnd w:id="450"/>
      <w:hyperlink r:id="rId1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451" w:name="Bookmark_I5FNG9ST2D6MWB0030000400"/>
      <w:bookmarkEnd w:id="451"/>
      <w:r>
        <w:rPr>
          <w:rFonts w:ascii="arial" w:eastAsia="arial" w:hAnsi="arial" w:cs="arial"/>
          <w:b w:val="0"/>
          <w:i w:val="0"/>
          <w:strike w:val="0"/>
          <w:noProof w:val="0"/>
          <w:color w:val="000000"/>
          <w:position w:val="0"/>
          <w:sz w:val="20"/>
          <w:u w:val="none"/>
          <w:vertAlign w:val="baseline"/>
        </w:rPr>
        <w:t>The authority of a court to subject a particular defendant to personal</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jurisdiction has been analyzed as a constitutional question for well over a century. </w:t>
      </w:r>
      <w:r>
        <w:rPr>
          <w:rFonts w:ascii="arial" w:eastAsia="arial" w:hAnsi="arial" w:cs="arial"/>
          <w:b w:val="0"/>
          <w:i/>
          <w:strike w:val="0"/>
          <w:noProof w:val="0"/>
          <w:color w:val="000000"/>
          <w:position w:val="0"/>
          <w:sz w:val="20"/>
          <w:u w:val="none"/>
          <w:vertAlign w:val="baseline"/>
        </w:rPr>
        <w:t xml:space="preserve">See generally </w:t>
      </w:r>
      <w:bookmarkStart w:id="452" w:name="Bookmark_I5FNG9ST2D6MWB0020000400"/>
      <w:bookmarkEnd w:id="452"/>
      <w:hyperlink r:id="rId144" w:history="1">
        <w:r>
          <w:rPr>
            <w:rFonts w:ascii="arial" w:eastAsia="arial" w:hAnsi="arial" w:cs="arial"/>
            <w:b w:val="0"/>
            <w:i/>
            <w:strike w:val="0"/>
            <w:noProof w:val="0"/>
            <w:color w:val="0077CC"/>
            <w:position w:val="0"/>
            <w:sz w:val="20"/>
            <w:u w:val="single"/>
            <w:vertAlign w:val="baseline"/>
          </w:rPr>
          <w:t>Pennoyer v. Neff</w:t>
        </w:r>
      </w:hyperlink>
      <w:hyperlink r:id="rId144" w:history="1">
        <w:r>
          <w:rPr>
            <w:rFonts w:ascii="arial" w:eastAsia="arial" w:hAnsi="arial" w:cs="arial"/>
            <w:b w:val="0"/>
            <w:i/>
            <w:strike w:val="0"/>
            <w:noProof w:val="0"/>
            <w:color w:val="0077CC"/>
            <w:position w:val="0"/>
            <w:sz w:val="20"/>
            <w:u w:val="single"/>
            <w:vertAlign w:val="baseline"/>
          </w:rPr>
          <w:t>, 95 U.S. 714, 24 L. Ed. 565 (1877)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authority for jurisdiction, though a necessary condition of it, is not a sufficient one. The plaintiffs seem to conflate the statutory authority for jurisdiction under the Clayton Act with the constitutional propriety. They also blur the distinction between the two forms of personal jurisdiction in the constitutional analysis: general, or all-purpose, personal jurisdiction; and specific, or case-linked personal jurisdiction. In order to show that an exercise of personal jurisdiction comports with Due Process, the plaintiffs must plead facts sufficient to support either general or specific personal jurisdiction, in addition to showing statutory authority.</w:t>
      </w:r>
    </w:p>
    <w:p>
      <w:pPr>
        <w:keepNext w:val="0"/>
        <w:widowControl w:val="0"/>
        <w:spacing w:before="240" w:after="0" w:line="260" w:lineRule="atLeast"/>
        <w:ind w:left="0" w:right="0" w:firstLine="0"/>
        <w:jc w:val="both"/>
      </w:pPr>
      <w:bookmarkStart w:id="453" w:name="Bookmark_para_78"/>
      <w:bookmarkEnd w:id="453"/>
      <w:bookmarkStart w:id="454" w:name="Bookmark_I4969FYMPMP000HF4VM0005B"/>
      <w:bookmarkEnd w:id="454"/>
      <w:bookmarkStart w:id="455" w:name="Bookmark_I5FNG9ST2D6MWB0050000400"/>
      <w:bookmarkEnd w:id="455"/>
      <w:bookmarkStart w:id="456" w:name="Bookmark_I4969FYMVFV000HF4VM0005C"/>
      <w:bookmarkEnd w:id="456"/>
      <w:bookmarkStart w:id="457" w:name="Bookmark_I5FNG9ST2D6MWC0020000400"/>
      <w:bookmarkEnd w:id="457"/>
      <w:r>
        <w:rPr>
          <w:rFonts w:ascii="arial" w:eastAsia="arial" w:hAnsi="arial" w:cs="arial"/>
          <w:b w:val="0"/>
          <w:i w:val="0"/>
          <w:strike w:val="0"/>
          <w:noProof w:val="0"/>
          <w:color w:val="000000"/>
          <w:position w:val="0"/>
          <w:sz w:val="20"/>
          <w:u w:val="none"/>
          <w:vertAlign w:val="baseline"/>
        </w:rPr>
        <w:t xml:space="preserve">"A court may assert general jurisdiction over foreign (sister-state or foreign-country) corporations to hear any and all claims against them when their affiliations with the State are so continuous and systematic as to render them essentially at home in the forum State." </w:t>
      </w:r>
      <w:bookmarkStart w:id="458" w:name="Bookmark_I5FNG9ST2D6MWB0040000400"/>
      <w:bookmarkEnd w:id="458"/>
      <w:hyperlink r:id="rId145"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145"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xml:space="preserve"> (quotation omitted). Being "essentially at home" in a place is a very high bar, almost never found for corporations where they are neither incorporated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nor headquartered. "[E]ven a company's engagement in a substantial, continuous, and systematic course of business is alone insufficient to render it at home in a forum." </w:t>
      </w:r>
      <w:bookmarkStart w:id="459" w:name="Bookmark_I5FNG9ST2D6MWC0010000400"/>
      <w:bookmarkEnd w:id="459"/>
      <w:hyperlink r:id="rId146" w:history="1">
        <w:r>
          <w:rPr>
            <w:rFonts w:ascii="arial" w:eastAsia="arial" w:hAnsi="arial" w:cs="arial"/>
            <w:b w:val="0"/>
            <w:i/>
            <w:strike w:val="0"/>
            <w:noProof w:val="0"/>
            <w:color w:val="0077CC"/>
            <w:position w:val="0"/>
            <w:sz w:val="20"/>
            <w:u w:val="single"/>
            <w:vertAlign w:val="baseline"/>
          </w:rPr>
          <w:t>Sonera Holding B.V. v. Cukurova Holding A.S</w:t>
        </w:r>
      </w:hyperlink>
      <w:hyperlink r:id="rId146" w:history="1">
        <w:r>
          <w:rPr>
            <w:rFonts w:ascii="arial" w:eastAsia="arial" w:hAnsi="arial" w:cs="arial"/>
            <w:b w:val="0"/>
            <w:i/>
            <w:strike w:val="0"/>
            <w:noProof w:val="0"/>
            <w:color w:val="0077CC"/>
            <w:position w:val="0"/>
            <w:sz w:val="20"/>
            <w:u w:val="single"/>
            <w:vertAlign w:val="baseline"/>
          </w:rPr>
          <w:t>., 750 F.3d 221, 226 (2d Cir. 2014)</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none"/>
          <w:vertAlign w:val="baseline"/>
        </w:rPr>
        <w:t>None of the complaints plead facts even close to a plausible claim of general jurisdiction over Teva Israel.</w:t>
      </w:r>
    </w:p>
    <w:p>
      <w:pPr>
        <w:keepNext w:val="0"/>
        <w:widowControl w:val="0"/>
        <w:spacing w:before="200" w:after="0" w:line="260" w:lineRule="atLeast"/>
        <w:ind w:left="0" w:right="0" w:firstLine="0"/>
        <w:jc w:val="both"/>
      </w:pPr>
      <w:bookmarkStart w:id="460" w:name="Bookmark_para_79"/>
      <w:bookmarkEnd w:id="460"/>
      <w:bookmarkStart w:id="461" w:name="Bookmark_LNHNREFclscc24"/>
      <w:bookmarkEnd w:id="461"/>
      <w:hyperlink r:id="rId14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462" w:name="Bookmark_I5FNG9ST2D6MWC0040000400"/>
      <w:bookmarkEnd w:id="462"/>
      <w:r>
        <w:rPr>
          <w:rFonts w:ascii="arial" w:eastAsia="arial" w:hAnsi="arial" w:cs="arial"/>
          <w:b w:val="0"/>
          <w:i w:val="0"/>
          <w:strike w:val="0"/>
          <w:noProof w:val="0"/>
          <w:color w:val="000000"/>
          <w:position w:val="0"/>
          <w:sz w:val="20"/>
          <w:u w:val="none"/>
          <w:vertAlign w:val="baseline"/>
        </w:rPr>
        <w:t xml:space="preserve">"Specific jurisdiction, on the other hand, depends on an affiliation between the forum and the underlying controversy." </w:t>
      </w:r>
      <w:bookmarkStart w:id="463" w:name="Bookmark_I5FNG9ST2D6MWC0030000400"/>
      <w:bookmarkEnd w:id="463"/>
      <w:hyperlink r:id="rId145" w:history="1">
        <w:r>
          <w:rPr>
            <w:rFonts w:ascii="arial" w:eastAsia="arial" w:hAnsi="arial" w:cs="arial"/>
            <w:b w:val="0"/>
            <w:i/>
            <w:strike w:val="0"/>
            <w:noProof w:val="0"/>
            <w:color w:val="0077CC"/>
            <w:position w:val="0"/>
            <w:sz w:val="20"/>
            <w:u w:val="single"/>
            <w:vertAlign w:val="baseline"/>
          </w:rPr>
          <w:t>Goodyear Dunlop</w:t>
        </w:r>
      </w:hyperlink>
      <w:hyperlink r:id="rId145"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(quotation omitted). Importantly, "[i]n contrast to general, all-purpose jurisdiction,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specific jurisdiction is confined to adjudication of issues deriving from, or connected with, the very controversy that establishes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 Pleading specific jurisdiction does not present nearly so high a bar as pleading general jurisdiction, but unlike general jurisdiction, it depends on </w:t>
      </w:r>
      <w:r>
        <w:rPr>
          <w:rFonts w:ascii="arial" w:eastAsia="arial" w:hAnsi="arial" w:cs="arial"/>
          <w:b w:val="0"/>
          <w:i/>
          <w:strike w:val="0"/>
          <w:noProof w:val="0"/>
          <w:color w:val="000000"/>
          <w:position w:val="0"/>
          <w:sz w:val="20"/>
          <w:u w:val="none"/>
          <w:vertAlign w:val="baseline"/>
        </w:rPr>
        <w:t>case-specific</w:t>
      </w:r>
      <w:r>
        <w:rPr>
          <w:rFonts w:ascii="arial" w:eastAsia="arial" w:hAnsi="arial" w:cs="arial"/>
          <w:b w:val="0"/>
          <w:i w:val="0"/>
          <w:strike w:val="0"/>
          <w:noProof w:val="0"/>
          <w:color w:val="000000"/>
          <w:position w:val="0"/>
          <w:sz w:val="20"/>
          <w:u w:val="none"/>
          <w:vertAlign w:val="baseline"/>
        </w:rPr>
        <w:t xml:space="preserve"> contacts. Even frequent, substantial contacts cannot confer jurisdiction in this case unless the contacts were made in connection with the specific controversy being litigated.</w:t>
      </w:r>
    </w:p>
    <w:p>
      <w:pPr>
        <w:keepNext w:val="0"/>
        <w:widowControl w:val="0"/>
        <w:spacing w:before="200" w:after="0" w:line="260" w:lineRule="atLeast"/>
        <w:ind w:left="0" w:right="0" w:firstLine="0"/>
        <w:jc w:val="both"/>
      </w:pPr>
      <w:bookmarkStart w:id="464" w:name="Bookmark_para_80"/>
      <w:bookmarkEnd w:id="464"/>
      <w:r>
        <w:rPr>
          <w:rFonts w:ascii="arial" w:eastAsia="arial" w:hAnsi="arial" w:cs="arial"/>
          <w:b w:val="0"/>
          <w:i w:val="0"/>
          <w:strike w:val="0"/>
          <w:noProof w:val="0"/>
          <w:color w:val="000000"/>
          <w:position w:val="0"/>
          <w:sz w:val="20"/>
          <w:u w:val="none"/>
          <w:vertAlign w:val="baseline"/>
        </w:rPr>
        <w:t>The plaintiffs emphasize how thoroughly entrenched in the American generic pharmaceutical industry Teva Israel is, and they cite SEC filings and corporate web pages to argue that the Teva entities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play fast and loose with the "Teva" name. The broad general contacts that the plaintiffs describe do not rise to the very high "essentially at home" standard for general jurisdiction, and such generalized contacts are not useful for establishing specific personal jurisdiction, because they have nothing to do with the particular conduct giving rise to the claims here. Teva Israel's contacts with the United States are sufficient for specific personal jurisdiction to comport with constitutional requirements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case, but this is not such a case. Apart from the bare, conclusory assertion that Teva Israel joined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complaints do not allege any action by the Israeli company that is specifically in connection with this case. It is customary to analyze the issue of statutory jurisdictional authority before analyzing comportment with Due Process, but the pleadings are so obviously insufficient with respect to the latter that it is not necessary to examine the question of jurisdiction under the Clayton Act.</w:t>
      </w:r>
    </w:p>
    <w:p>
      <w:pPr>
        <w:keepNext w:val="0"/>
        <w:widowControl w:val="0"/>
        <w:spacing w:before="240" w:after="0" w:line="260" w:lineRule="atLeast"/>
        <w:ind w:left="0" w:right="0" w:firstLine="0"/>
        <w:jc w:val="both"/>
      </w:pPr>
      <w:bookmarkStart w:id="465" w:name="Bookmark_para_81"/>
      <w:bookmarkEnd w:id="465"/>
      <w:r>
        <w:rPr>
          <w:rFonts w:ascii="arial" w:eastAsia="arial" w:hAnsi="arial" w:cs="arial"/>
          <w:b w:val="0"/>
          <w:i w:val="0"/>
          <w:strike w:val="0"/>
          <w:noProof w:val="0"/>
          <w:color w:val="000000"/>
          <w:position w:val="0"/>
          <w:sz w:val="20"/>
          <w:u w:val="none"/>
          <w:vertAlign w:val="baseline"/>
        </w:rPr>
        <w:t>In their opposition memoranda, the plaintiffs argue that the conduct of Teva USA and Barr should be attributed to Teva Israel either because the latter is successor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or because it controls its American subsidiaries. </w:t>
      </w:r>
      <w:bookmarkStart w:id="466" w:name="Bookmark_I5FNG9ST2D6MWF0010000400"/>
      <w:bookmarkEnd w:id="466"/>
      <w:r>
        <w:rPr>
          <w:rFonts w:ascii="arial" w:eastAsia="arial" w:hAnsi="arial" w:cs="arial"/>
          <w:b w:val="0"/>
          <w:i w:val="0"/>
          <w:strike w:val="0"/>
          <w:noProof w:val="0"/>
          <w:color w:val="000000"/>
          <w:position w:val="0"/>
          <w:sz w:val="20"/>
          <w:u w:val="none"/>
          <w:vertAlign w:val="baseline"/>
        </w:rPr>
        <w:t xml:space="preserve">Those arguments do not appear to correspond to a plausible factual foundation in the pleadings, and without more facts, the prospects for repleading either a veil-piercing theory or a successor-in-interest theory do not seem bright. Limited jurisdictional discovery of Teva Israel is not appropriate because the plaintiffs failed to make a prima facie case for personal jurisdiction. </w:t>
      </w:r>
      <w:r>
        <w:rPr>
          <w:rFonts w:ascii="arial" w:eastAsia="arial" w:hAnsi="arial" w:cs="arial"/>
          <w:b w:val="0"/>
          <w:i/>
          <w:strike w:val="0"/>
          <w:noProof w:val="0"/>
          <w:color w:val="000000"/>
          <w:position w:val="0"/>
          <w:sz w:val="20"/>
          <w:u w:val="none"/>
          <w:vertAlign w:val="baseline"/>
        </w:rPr>
        <w:t xml:space="preserve">See </w:t>
      </w:r>
      <w:bookmarkStart w:id="467" w:name="Bookmark_I5FNG9ST2D6MWC0050000400"/>
      <w:bookmarkEnd w:id="467"/>
      <w:hyperlink r:id="rId148" w:history="1">
        <w:r>
          <w:rPr>
            <w:rFonts w:ascii="arial" w:eastAsia="arial" w:hAnsi="arial" w:cs="arial"/>
            <w:b w:val="0"/>
            <w:i/>
            <w:strike w:val="0"/>
            <w:noProof w:val="0"/>
            <w:color w:val="0077CC"/>
            <w:position w:val="0"/>
            <w:sz w:val="20"/>
            <w:u w:val="single"/>
            <w:vertAlign w:val="baseline"/>
          </w:rPr>
          <w:t>Ball v. Metallurgie Hoboken-Overpelt, S.A</w:t>
        </w:r>
      </w:hyperlink>
      <w:hyperlink r:id="rId148" w:history="1">
        <w:r>
          <w:rPr>
            <w:rFonts w:ascii="arial" w:eastAsia="arial" w:hAnsi="arial" w:cs="arial"/>
            <w:b w:val="0"/>
            <w:i/>
            <w:strike w:val="0"/>
            <w:noProof w:val="0"/>
            <w:color w:val="0077CC"/>
            <w:position w:val="0"/>
            <w:sz w:val="20"/>
            <w:u w:val="single"/>
            <w:vertAlign w:val="baseline"/>
          </w:rPr>
          <w:t>., 902 F.2d 194, 197 (2d Cir. 1990)</w:t>
        </w:r>
      </w:hyperlink>
      <w:r>
        <w:rPr>
          <w:rFonts w:ascii="arial" w:eastAsia="arial" w:hAnsi="arial" w:cs="arial"/>
          <w:b w:val="0"/>
          <w:i w:val="0"/>
          <w:strike w:val="0"/>
          <w:noProof w:val="0"/>
          <w:color w:val="000000"/>
          <w:position w:val="0"/>
          <w:sz w:val="20"/>
          <w:u w:val="none"/>
          <w:vertAlign w:val="baseline"/>
        </w:rPr>
        <w:t xml:space="preserve">. If discovery taken from the other defendants should turn up evidence of Teva Israel's contacts </w:t>
      </w:r>
      <w:r>
        <w:rPr>
          <w:rFonts w:ascii="arial" w:eastAsia="arial" w:hAnsi="arial" w:cs="arial"/>
          <w:b w:val="0"/>
          <w:i/>
          <w:strike w:val="0"/>
          <w:noProof w:val="0"/>
          <w:color w:val="000000"/>
          <w:position w:val="0"/>
          <w:sz w:val="20"/>
          <w:u w:val="none"/>
          <w:vertAlign w:val="baseline"/>
        </w:rPr>
        <w:t>specifically</w:t>
      </w:r>
      <w:r>
        <w:rPr>
          <w:rFonts w:ascii="arial" w:eastAsia="arial" w:hAnsi="arial" w:cs="arial"/>
          <w:b w:val="0"/>
          <w:i w:val="0"/>
          <w:strike w:val="0"/>
          <w:noProof w:val="0"/>
          <w:color w:val="000000"/>
          <w:position w:val="0"/>
          <w:sz w:val="20"/>
          <w:u w:val="none"/>
          <w:vertAlign w:val="baseline"/>
        </w:rPr>
        <w:t xml:space="preserve"> in connection with the controversy underlying this case, then the plaintiffs may seek leave of the court to replead their claims against it. Accordingly, Teva Israel's motion to dismiss under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is granted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68" w:name="Bookmark_para_82"/>
      <w:bookmarkEnd w:id="468"/>
      <w:r>
        <w:rPr>
          <w:rFonts w:ascii="arial" w:eastAsia="arial" w:hAnsi="arial" w:cs="arial"/>
          <w:b w:val="0"/>
          <w:i w:val="0"/>
          <w:strike w:val="0"/>
          <w:noProof w:val="0"/>
          <w:color w:val="000000"/>
          <w:position w:val="0"/>
          <w:sz w:val="20"/>
          <w:u w:val="none"/>
          <w:vertAlign w:val="baseline"/>
        </w:rPr>
        <w:t>In sum, for the reasons discussed above:</w:t>
      </w:r>
    </w:p>
    <w:p>
      <w:pPr>
        <w:keepNext w:val="0"/>
        <w:widowControl w:val="0"/>
        <w:spacing w:before="240" w:after="0" w:line="260" w:lineRule="atLeast"/>
        <w:ind w:left="0" w:right="0" w:firstLine="0"/>
        <w:jc w:val="both"/>
      </w:pPr>
      <w:bookmarkStart w:id="469" w:name="Bookmark_para_83"/>
      <w:bookmarkEnd w:id="469"/>
      <w:r>
        <w:rPr>
          <w:rFonts w:ascii="arial" w:eastAsia="arial" w:hAnsi="arial" w:cs="arial"/>
          <w:b w:val="0"/>
          <w:i w:val="0"/>
          <w:strike w:val="0"/>
          <w:noProof w:val="0"/>
          <w:color w:val="000000"/>
          <w:position w:val="0"/>
          <w:sz w:val="20"/>
          <w:u w:val="none"/>
          <w:vertAlign w:val="baseline"/>
        </w:rPr>
        <w:t xml:space="preserve">(1) Teva Israel's motion to dismiss all complaints against it under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(doc. # 150) is granted without prejudice; the plaintiffs may seek leave to replead claims against it in the event that evidence of its participation in the specific agreements underlying this case are revealed in discovery taken from the other defendants.</w:t>
      </w:r>
    </w:p>
    <w:p>
      <w:pPr>
        <w:keepNext w:val="0"/>
        <w:widowControl w:val="0"/>
        <w:spacing w:before="240" w:after="0" w:line="260" w:lineRule="atLeast"/>
        <w:ind w:left="0" w:right="0" w:firstLine="0"/>
        <w:jc w:val="both"/>
      </w:pPr>
      <w:bookmarkStart w:id="470" w:name="Bookmark_para_84"/>
      <w:bookmarkEnd w:id="470"/>
      <w:r>
        <w:rPr>
          <w:rFonts w:ascii="arial" w:eastAsia="arial" w:hAnsi="arial" w:cs="arial"/>
          <w:b w:val="0"/>
          <w:i w:val="0"/>
          <w:strike w:val="0"/>
          <w:noProof w:val="0"/>
          <w:color w:val="000000"/>
          <w:position w:val="0"/>
          <w:sz w:val="20"/>
          <w:u w:val="none"/>
          <w:vertAlign w:val="baseline"/>
        </w:rPr>
        <w:t>(2) The defendants' motion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 dismiss the direct-purchaser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149; sealed mem., doc.168) is denied in substantial part. It is granted with respect only to any claims made in connection with overcharges allegedly incurred more than four years prior to the filing of the claims.</w:t>
      </w:r>
    </w:p>
    <w:p>
      <w:pPr>
        <w:keepNext w:val="0"/>
        <w:widowControl w:val="0"/>
        <w:spacing w:before="200" w:after="0" w:line="260" w:lineRule="atLeast"/>
        <w:ind w:left="0" w:right="0" w:firstLine="0"/>
        <w:jc w:val="both"/>
      </w:pPr>
      <w:bookmarkStart w:id="471" w:name="Bookmark_para_85"/>
      <w:bookmarkEnd w:id="471"/>
      <w:r>
        <w:rPr>
          <w:rFonts w:ascii="arial" w:eastAsia="arial" w:hAnsi="arial" w:cs="arial"/>
          <w:b w:val="0"/>
          <w:i w:val="0"/>
          <w:strike w:val="0"/>
          <w:noProof w:val="0"/>
          <w:color w:val="000000"/>
          <w:position w:val="0"/>
          <w:sz w:val="20"/>
          <w:u w:val="none"/>
          <w:vertAlign w:val="baseline"/>
        </w:rPr>
        <w:t xml:space="preserve">(3) The defendants' motion to dismiss the indirect-purchaser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151) is granted in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part and denied in part. It is granted without prejudice with respect to all state-law consumer-protection and unjust-enrichment claims. It is granted with prejudice with respect to any claims made in connection with overcharges allegedly incurred before the filing of the claims by a longer period than the relevant statute of limitations. It is granted with prejudice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Puerto Rico, and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Rhode Island that are in connection with overcharges allegedly incurred before July 15, 2013. It is granted without prejudice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Utah; the indirect purchasers have leave to replead those claims only if some named plaintiff is a citizen or resident of that state. It is granted without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prejudice with respect to other claims under the laws of states where the named plaintiffs do not plead injury; the indirect purchasers have leave to replead those claims only to the extent they can plead sufficient facts to allege harm to named plaintiffs in particular states.</w:t>
      </w:r>
    </w:p>
    <w:p>
      <w:pPr>
        <w:keepNext w:val="0"/>
        <w:widowControl w:val="0"/>
        <w:spacing w:before="200" w:after="0" w:line="260" w:lineRule="atLeast"/>
        <w:ind w:left="0" w:right="0" w:firstLine="0"/>
        <w:jc w:val="both"/>
      </w:pPr>
      <w:bookmarkStart w:id="472" w:name="Bookmark_para_86"/>
      <w:bookmarkEnd w:id="472"/>
      <w:r>
        <w:rPr>
          <w:rFonts w:ascii="arial" w:eastAsia="arial" w:hAnsi="arial" w:cs="arial"/>
          <w:b w:val="0"/>
          <w:i w:val="0"/>
          <w:strike w:val="0"/>
          <w:noProof w:val="0"/>
          <w:color w:val="000000"/>
          <w:position w:val="0"/>
          <w:sz w:val="20"/>
          <w:u w:val="none"/>
          <w:vertAlign w:val="baseline"/>
        </w:rPr>
        <w:t xml:space="preserve">(4) The defendants' motion to dismiss the Humana complaint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 152) is granted in part and denied in part. It is granted without prejudice with respect to all state-law consumer-protection and unjust-enrichment claims. It is granted with prejudice with respect to any claims made in connection with overcharges allegedly incurred before the filing of the claims by a longer period than the relevant statute of limitations. It is granted with prejudice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Puerto Rico, and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Rhode Island that are in connection with overcharges allegedly incurred before July 15, 2013. It is granted without prejudice with respect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Utah; Humana has leave to replead those claims only if it is a citizen or resident of that state.</w:t>
      </w:r>
    </w:p>
    <w:p>
      <w:pPr>
        <w:keepNext w:val="0"/>
        <w:widowControl w:val="0"/>
        <w:spacing w:before="200" w:after="0" w:line="260" w:lineRule="atLeast"/>
        <w:ind w:left="0" w:right="0" w:firstLine="0"/>
        <w:jc w:val="both"/>
      </w:pPr>
      <w:bookmarkStart w:id="473" w:name="Bookmark_para_87"/>
      <w:bookmarkEnd w:id="473"/>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74" w:name="Bookmark_para_88"/>
      <w:bookmarkEnd w:id="474"/>
      <w:r>
        <w:rPr>
          <w:rFonts w:ascii="arial" w:eastAsia="arial" w:hAnsi="arial" w:cs="arial"/>
          <w:b w:val="0"/>
          <w:i w:val="0"/>
          <w:strike w:val="0"/>
          <w:noProof w:val="0"/>
          <w:color w:val="000000"/>
          <w:position w:val="0"/>
          <w:sz w:val="20"/>
          <w:u w:val="none"/>
          <w:vertAlign w:val="baseline"/>
        </w:rPr>
        <w:t>Dated at Bridgeport, Connecticut, this 23rd day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March 2015.</w:t>
      </w:r>
    </w:p>
    <w:p>
      <w:pPr>
        <w:keepNext w:val="0"/>
        <w:widowControl w:val="0"/>
        <w:spacing w:before="200" w:after="0" w:line="260" w:lineRule="atLeast"/>
        <w:ind w:left="0" w:right="0" w:firstLine="0"/>
        <w:jc w:val="both"/>
      </w:pPr>
      <w:bookmarkStart w:id="475" w:name="Bookmark_para_89"/>
      <w:bookmarkEnd w:id="475"/>
      <w:r>
        <w:rPr>
          <w:rFonts w:ascii="arial" w:eastAsia="arial" w:hAnsi="arial" w:cs="arial"/>
          <w:b w:val="0"/>
          <w:i w:val="0"/>
          <w:strike w:val="0"/>
          <w:noProof w:val="0"/>
          <w:color w:val="000000"/>
          <w:position w:val="0"/>
          <w:sz w:val="20"/>
          <w:u w:val="none"/>
          <w:vertAlign w:val="baseline"/>
        </w:rPr>
        <w:t>/s/ STEFAN R. UNDERHILL</w:t>
      </w:r>
    </w:p>
    <w:p>
      <w:pPr>
        <w:keepNext w:val="0"/>
        <w:widowControl w:val="0"/>
        <w:spacing w:before="200" w:after="0" w:line="260" w:lineRule="atLeast"/>
        <w:ind w:left="0" w:right="0" w:firstLine="0"/>
        <w:jc w:val="both"/>
      </w:pPr>
      <w:bookmarkStart w:id="476" w:name="Bookmark_para_90"/>
      <w:bookmarkEnd w:id="476"/>
      <w:r>
        <w:rPr>
          <w:rFonts w:ascii="arial" w:eastAsia="arial" w:hAnsi="arial" w:cs="arial"/>
          <w:b w:val="0"/>
          <w:i w:val="0"/>
          <w:strike w:val="0"/>
          <w:noProof w:val="0"/>
          <w:color w:val="000000"/>
          <w:position w:val="0"/>
          <w:sz w:val="20"/>
          <w:u w:val="none"/>
          <w:vertAlign w:val="baseline"/>
        </w:rPr>
        <w:t>Stefan R. Underhill</w:t>
      </w:r>
    </w:p>
    <w:p>
      <w:pPr>
        <w:keepNext w:val="0"/>
        <w:widowControl w:val="0"/>
        <w:spacing w:before="200" w:after="0" w:line="260" w:lineRule="atLeast"/>
        <w:ind w:left="0" w:right="0" w:firstLine="0"/>
        <w:jc w:val="both"/>
      </w:pPr>
      <w:bookmarkStart w:id="477" w:name="Bookmark_para_91"/>
      <w:bookmarkEnd w:id="47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0" w:name="Bookmark_fnpara_1"/>
      <w:bookmarkEnd w:id="100"/>
      <w:r>
        <w:rPr>
          <w:rFonts w:ascii="arial" w:eastAsia="arial" w:hAnsi="arial" w:cs="arial"/>
          <w:b w:val="0"/>
          <w:i w:val="0"/>
          <w:strike w:val="0"/>
          <w:noProof w:val="0"/>
          <w:color w:val="000000"/>
          <w:position w:val="0"/>
          <w:sz w:val="18"/>
          <w:u w:val="none"/>
          <w:vertAlign w:val="baseline"/>
        </w:rPr>
        <w:t>If the validity of the patent has not yet been determined after 30 months, the FDA can give approval to the generic irrespective of possible infringement, but the manufacturer who then begins production of the generic does so at risk of an unfavorable judgment and the accrual of damages to the vindicated patent-holder.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8" w:name="Bookmark_fnpara_2"/>
      <w:bookmarkEnd w:id="388"/>
      <w:r>
        <w:rPr>
          <w:rFonts w:ascii="arial" w:eastAsia="arial" w:hAnsi="arial" w:cs="arial"/>
          <w:b w:val="0"/>
          <w:i w:val="0"/>
          <w:strike w:val="0"/>
          <w:noProof w:val="0"/>
          <w:color w:val="000000"/>
          <w:position w:val="0"/>
          <w:sz w:val="18"/>
          <w:u w:val="none"/>
          <w:vertAlign w:val="baseline"/>
        </w:rPr>
        <w:t>In the opposition</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memoranda, the indirect-purchaser plaintiffs also withdraw unjust-enrichment claims under Pennsylvania law and claims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of Kansas, New York, and Tennessee; and Humana withdraws its claims under the consumer-protection laws of Hawaii and Kansas, under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of Florida, Ohio, and Texas, and under the Sherman Act (which includes all of its direct-purchaser claims).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1" w:name="Bookmark_fnpara_3"/>
      <w:bookmarkEnd w:id="421"/>
      <w:r>
        <w:rPr>
          <w:rFonts w:ascii="arial" w:eastAsia="arial" w:hAnsi="arial" w:cs="arial"/>
          <w:b w:val="0"/>
          <w:i w:val="0"/>
          <w:strike w:val="0"/>
          <w:noProof w:val="0"/>
          <w:color w:val="000000"/>
          <w:position w:val="0"/>
          <w:sz w:val="18"/>
          <w:u w:val="none"/>
          <w:vertAlign w:val="baseline"/>
        </w:rPr>
        <w:t xml:space="preserve">The defendants also make this argument with respect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of Massachusetts, but as mentioned above, the indirect-purchaser plaintiffs withdraw their claims under that law. Humana did not plead claims under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Aggrenox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K7-J4F1-F04C-W0D6-00000-00&amp;context=" TargetMode="External" /><Relationship Id="rId100" Type="http://schemas.openxmlformats.org/officeDocument/2006/relationships/hyperlink" Target="https://advance.lexis.com/api/document?collection=cases&amp;id=urn:contentItem:3S4W-XGP0-003B-G2VB-00000-00&amp;context=" TargetMode="External" /><Relationship Id="rId101" Type="http://schemas.openxmlformats.org/officeDocument/2006/relationships/hyperlink" Target="https://advance.lexis.com/api/document?collection=cases&amp;id=urn:contentItem:4TP3-PMC0-TX4N-G151-00000-00&amp;context=" TargetMode="External" /><Relationship Id="rId102" Type="http://schemas.openxmlformats.org/officeDocument/2006/relationships/hyperlink" Target="https://advance.lexis.com/api/document?collection=cases&amp;id=urn:contentItem:44R3-71P0-0038-X4HD-00000-00&amp;context=" TargetMode="External" /><Relationship Id="rId103" Type="http://schemas.openxmlformats.org/officeDocument/2006/relationships/hyperlink" Target="https://advance.lexis.com/api/document?collection=cases&amp;id=urn:contentItem:3RV9-X170-003B-R185-00000-00&amp;context=" TargetMode="External" /><Relationship Id="rId104" Type="http://schemas.openxmlformats.org/officeDocument/2006/relationships/hyperlink" Target="https://advance.lexis.com/api/document?collection=cases&amp;id=urn:contentItem:4DK6-R430-0038-X3T5-00000-00&amp;context=" TargetMode="External" /><Relationship Id="rId105" Type="http://schemas.openxmlformats.org/officeDocument/2006/relationships/hyperlink" Target="https://advance.lexis.com/api/document?collection=cases&amp;id=urn:contentItem:5FK7-J4F1-F04C-W0D6-00000-00&amp;context=&amp;link=clscc12" TargetMode="External" /><Relationship Id="rId106" Type="http://schemas.openxmlformats.org/officeDocument/2006/relationships/hyperlink" Target="https://advance.lexis.com/api/document?collection=cases&amp;id=urn:contentItem:3S4W-YFR0-001B-K2K8-00000-00&amp;context=" TargetMode="External" /><Relationship Id="rId107" Type="http://schemas.openxmlformats.org/officeDocument/2006/relationships/hyperlink" Target="https://advance.lexis.com/api/document?collection=cases&amp;id=urn:contentItem:3S4X-9DJ0-003B-S1WY-00000-00&amp;context=" TargetMode="External" /><Relationship Id="rId108" Type="http://schemas.openxmlformats.org/officeDocument/2006/relationships/hyperlink" Target="https://advance.lexis.com/api/document?collection=cases&amp;id=urn:contentItem:3S4X-BF10-003B-42H3-00000-00&amp;context=" TargetMode="External" /><Relationship Id="rId109" Type="http://schemas.openxmlformats.org/officeDocument/2006/relationships/hyperlink" Target="https://advance.lexis.com/api/document?collection=cases&amp;id=urn:contentItem:4H3T-3340-0038-Y3MN-00000-00&amp;context=" TargetMode="External" /><Relationship Id="rId11" Type="http://schemas.openxmlformats.org/officeDocument/2006/relationships/hyperlink" Target="https://advance.lexis.com/api/document?collection=cases&amp;id=urn:contentItem:5GGV-27Y1-F04C-W066-00000-00&amp;context=" TargetMode="External" /><Relationship Id="rId110" Type="http://schemas.openxmlformats.org/officeDocument/2006/relationships/hyperlink" Target="https://advance.lexis.com/api/document?collection=cases&amp;id=urn:contentItem:5FK7-J4F1-F04C-W0D6-00000-00&amp;context=&amp;link=clscc13" TargetMode="External" /><Relationship Id="rId111" Type="http://schemas.openxmlformats.org/officeDocument/2006/relationships/hyperlink" Target="https://advance.lexis.com/api/document?collection=cases&amp;id=urn:contentItem:3S4X-2TW0-001B-K4RW-00000-00&amp;context=" TargetMode="External" /><Relationship Id="rId112" Type="http://schemas.openxmlformats.org/officeDocument/2006/relationships/hyperlink" Target="https://advance.lexis.com/api/document?collection=cases&amp;id=urn:contentItem:55YR-P901-F04K-J0R6-00000-00&amp;context=" TargetMode="External" /><Relationship Id="rId113" Type="http://schemas.openxmlformats.org/officeDocument/2006/relationships/hyperlink" Target="https://advance.lexis.com/api/document?collection=cases&amp;id=urn:contentItem:48X4-Y610-004B-Y02D-00000-00&amp;context=" TargetMode="External" /><Relationship Id="rId114" Type="http://schemas.openxmlformats.org/officeDocument/2006/relationships/hyperlink" Target="https://advance.lexis.com/api/document?collection=cases&amp;id=urn:contentItem:56H9-JSJ1-F04K-J1SF-00000-00&amp;context=" TargetMode="External" /><Relationship Id="rId115" Type="http://schemas.openxmlformats.org/officeDocument/2006/relationships/hyperlink" Target="https://advance.lexis.com/api/document?collection=cases&amp;id=urn:contentItem:5FK7-J4F1-F04C-W0D6-00000-00&amp;context=&amp;link=clscc14" TargetMode="External" /><Relationship Id="rId116" Type="http://schemas.openxmlformats.org/officeDocument/2006/relationships/hyperlink" Target="https://advance.lexis.com/api/document?collection=cases&amp;id=urn:contentItem:520N-PD41-652P-Y00J-00000-00&amp;context=" TargetMode="External" /><Relationship Id="rId117" Type="http://schemas.openxmlformats.org/officeDocument/2006/relationships/hyperlink" Target="https://advance.lexis.com/api/document?collection=cases&amp;id=urn:contentItem:5FK7-J4F1-F04C-W0D6-00000-00&amp;context=&amp;link=clscc15" TargetMode="External" /><Relationship Id="rId118" Type="http://schemas.openxmlformats.org/officeDocument/2006/relationships/hyperlink" Target="https://advance.lexis.com/api/document?collection=cases&amp;id=urn:contentItem:3S4X-BGK0-003B-S1WN-00000-00&amp;context=" TargetMode="External" /><Relationship Id="rId119" Type="http://schemas.openxmlformats.org/officeDocument/2006/relationships/hyperlink" Target="https://advance.lexis.com/api/document?collection=cases&amp;id=urn:contentItem:3S04-RP80-003B-R23X-00000-00&amp;context=" TargetMode="External" /><Relationship Id="rId12" Type="http://schemas.openxmlformats.org/officeDocument/2006/relationships/hyperlink" Target="https://advance.lexis.com/api/document?collection=cases&amp;id=urn:contentItem:5KDV-P4H1-F04C-W0MK-00000-00&amp;context=" TargetMode="External" /><Relationship Id="rId120" Type="http://schemas.openxmlformats.org/officeDocument/2006/relationships/hyperlink" Target="https://advance.lexis.com/api/document?collection=cases&amp;id=urn:contentItem:4SVD-7560-TXFX-12GY-00000-00&amp;context=" TargetMode="External" /><Relationship Id="rId121" Type="http://schemas.openxmlformats.org/officeDocument/2006/relationships/hyperlink" Target="https://advance.lexis.com/api/document?collection=cases&amp;id=urn:contentItem:3WSK-9JC0-004B-Y01T-00000-00&amp;context=" TargetMode="External" /><Relationship Id="rId122" Type="http://schemas.openxmlformats.org/officeDocument/2006/relationships/hyperlink" Target="https://advance.lexis.com/api/document?collection=cases&amp;id=urn:contentItem:3RV9-HGW0-003B-R17N-00000-00&amp;context=" TargetMode="External" /><Relationship Id="rId123" Type="http://schemas.openxmlformats.org/officeDocument/2006/relationships/hyperlink" Target="https://advance.lexis.com/api/document?collection=cases&amp;id=urn:contentItem:5FK7-J4F1-F04C-W0D6-00000-00&amp;context=&amp;link=clscc16" TargetMode="External" /><Relationship Id="rId124" Type="http://schemas.openxmlformats.org/officeDocument/2006/relationships/hyperlink" Target="https://advance.lexis.com/api/document?collection=cases&amp;id=urn:contentItem:5FK7-J4F1-F04C-W0D6-00000-00&amp;context=&amp;link=clscc17" TargetMode="External" /><Relationship Id="rId125" Type="http://schemas.openxmlformats.org/officeDocument/2006/relationships/hyperlink" Target="https://advance.lexis.com/api/document?collection=cases&amp;id=urn:contentItem:5FK7-J4F1-F04C-W0D6-00000-00&amp;context=&amp;link=clscc18" TargetMode="External" /><Relationship Id="rId126" Type="http://schemas.openxmlformats.org/officeDocument/2006/relationships/hyperlink" Target="https://advance.lexis.com/api/document?collection=cases&amp;id=urn:contentItem:3S4X-78R0-003B-P0FY-00000-00&amp;context=" TargetMode="External" /><Relationship Id="rId127" Type="http://schemas.openxmlformats.org/officeDocument/2006/relationships/hyperlink" Target="https://advance.lexis.com/api/document?collection=cases&amp;id=urn:contentItem:51NF-K7D1-652H-700J-00000-00&amp;context=" TargetMode="External" /><Relationship Id="rId128" Type="http://schemas.openxmlformats.org/officeDocument/2006/relationships/hyperlink" Target="https://advance.lexis.com/api/document?collection=cases&amp;id=urn:contentItem:53BS-MJB1-JCNC-81P3-00000-00&amp;context=" TargetMode="External" /><Relationship Id="rId129" Type="http://schemas.openxmlformats.org/officeDocument/2006/relationships/hyperlink" Target="https://advance.lexis.com/api/document?collection=cases&amp;id=urn:contentItem:4VXD-XCF0-TXFP-C20F-00000-00&amp;context=" TargetMode="External" /><Relationship Id="rId13" Type="http://schemas.openxmlformats.org/officeDocument/2006/relationships/hyperlink" Target="https://advance.lexis.com/api/document?collection=cases&amp;id=urn:contentItem:5KDX-TV51-F04C-W0N1-00000-00&amp;context=" TargetMode="External" /><Relationship Id="rId130" Type="http://schemas.openxmlformats.org/officeDocument/2006/relationships/hyperlink" Target="https://advance.lexis.com/api/document?collection=cases&amp;id=urn:contentItem:3SKM-71R0-0060-S3Y5-00000-00&amp;context=" TargetMode="External" /><Relationship Id="rId131" Type="http://schemas.openxmlformats.org/officeDocument/2006/relationships/hyperlink" Target="https://advance.lexis.com/api/document?collection=cases&amp;id=urn:contentItem:5FK7-J4F1-F04C-W0D6-00000-00&amp;context=&amp;link=clscc19" TargetMode="External" /><Relationship Id="rId132" Type="http://schemas.openxmlformats.org/officeDocument/2006/relationships/hyperlink" Target="https://advance.lexis.com/api/document?collection=cases&amp;id=urn:contentItem:3S3J-XTP0-003D-F17F-00000-00&amp;context=" TargetMode="External" /><Relationship Id="rId133" Type="http://schemas.openxmlformats.org/officeDocument/2006/relationships/hyperlink" Target="https://advance.lexis.com/api/document?collection=cases&amp;id=urn:contentItem:3S4X-8CC0-003B-H4JM-00000-00&amp;context=" TargetMode="External" /><Relationship Id="rId134" Type="http://schemas.openxmlformats.org/officeDocument/2006/relationships/hyperlink" Target="https://advance.lexis.com/api/document?collection=cases&amp;id=urn:contentItem:4FFX-3VP0-TVW3-P1WY-00000-00&amp;context=" TargetMode="External" /><Relationship Id="rId135" Type="http://schemas.openxmlformats.org/officeDocument/2006/relationships/hyperlink" Target="https://advance.lexis.com/api/document?collection=cases&amp;id=urn:contentItem:3S4N-8C30-0054-43H3-00000-00&amp;context=" TargetMode="External" /><Relationship Id="rId136" Type="http://schemas.openxmlformats.org/officeDocument/2006/relationships/hyperlink" Target="https://advance.lexis.com/api/document?collection=cases&amp;id=urn:contentItem:5FK7-J4F1-F04C-W0D6-00000-00&amp;context=&amp;link=clscc20" TargetMode="External" /><Relationship Id="rId137" Type="http://schemas.openxmlformats.org/officeDocument/2006/relationships/hyperlink" Target="https://advance.lexis.com/api/document?collection=cases&amp;id=urn:contentItem:7Y4J-8F10-YB0V-9153-00000-00&amp;context=" TargetMode="External" /><Relationship Id="rId138" Type="http://schemas.openxmlformats.org/officeDocument/2006/relationships/hyperlink" Target="https://advance.lexis.com/api/document?collection=cases&amp;id=urn:contentItem:3S4X-9JJ0-003B-S3H9-00000-00&amp;context=" TargetMode="External" /><Relationship Id="rId139" Type="http://schemas.openxmlformats.org/officeDocument/2006/relationships/hyperlink" Target="https://advance.lexis.com/api/document?collection=cases&amp;id=urn:contentItem:5FK7-J4F1-F04C-W0D6-00000-00&amp;context=&amp;link=clscc21" TargetMode="External" /><Relationship Id="rId14" Type="http://schemas.openxmlformats.org/officeDocument/2006/relationships/hyperlink" Target="https://advance.lexis.com/api/document?collection=cases&amp;id=urn:contentItem:5PMX-CHJ1-F04C-W0K5-00000-00&amp;context=" TargetMode="External" /><Relationship Id="rId140" Type="http://schemas.openxmlformats.org/officeDocument/2006/relationships/hyperlink" Target="https://advance.lexis.com/api/document?collection=statutes-legislation&amp;id=urn:contentItem:5GYC-1WP1-6N19-F0YK-00000-00&amp;context=" TargetMode="External" /><Relationship Id="rId141" Type="http://schemas.openxmlformats.org/officeDocument/2006/relationships/hyperlink" Target="https://advance.lexis.com/api/document?collection=cases&amp;id=urn:contentItem:5FK7-J4F1-F04C-W0D6-00000-00&amp;context=&amp;link=clscc22" TargetMode="External" /><Relationship Id="rId142" Type="http://schemas.openxmlformats.org/officeDocument/2006/relationships/hyperlink" Target="https://advance.lexis.com/api/document?collection=cases&amp;id=urn:contentItem:3T28-55M0-0038-X095-00000-00&amp;context=" TargetMode="External" /><Relationship Id="rId143" Type="http://schemas.openxmlformats.org/officeDocument/2006/relationships/hyperlink" Target="https://advance.lexis.com/api/document?collection=cases&amp;id=urn:contentItem:5FK7-J4F1-F04C-W0D6-00000-00&amp;context=&amp;link=clscc23" TargetMode="External" /><Relationship Id="rId144" Type="http://schemas.openxmlformats.org/officeDocument/2006/relationships/hyperlink" Target="https://advance.lexis.com/api/document?collection=cases&amp;id=urn:contentItem:3S4X-JCD0-003B-H55G-00000-00&amp;context=" TargetMode="External" /><Relationship Id="rId145" Type="http://schemas.openxmlformats.org/officeDocument/2006/relationships/hyperlink" Target="https://advance.lexis.com/api/document?collection=cases&amp;id=urn:contentItem:5364-BJ81-F04K-F4X2-00000-00&amp;context=" TargetMode="External" /><Relationship Id="rId146" Type="http://schemas.openxmlformats.org/officeDocument/2006/relationships/hyperlink" Target="https://advance.lexis.com/api/document?collection=cases&amp;id=urn:contentItem:5C2D-2KD1-F04K-J037-00000-00&amp;context=" TargetMode="External" /><Relationship Id="rId147" Type="http://schemas.openxmlformats.org/officeDocument/2006/relationships/hyperlink" Target="https://advance.lexis.com/api/document?collection=cases&amp;id=urn:contentItem:5FK7-J4F1-F04C-W0D6-00000-00&amp;context=&amp;link=clscc24" TargetMode="External" /><Relationship Id="rId148" Type="http://schemas.openxmlformats.org/officeDocument/2006/relationships/hyperlink" Target="https://advance.lexis.com/api/document?collection=cases&amp;id=urn:contentItem:3S4X-5NM0-003B-514X-00000-00&amp;context=" TargetMode="External" /><Relationship Id="rId149" Type="http://schemas.openxmlformats.org/officeDocument/2006/relationships/styles" Target="styles.xml" /><Relationship Id="rId15" Type="http://schemas.openxmlformats.org/officeDocument/2006/relationships/hyperlink" Target="https://advance.lexis.com/api/document?collection=cases&amp;id=urn:contentItem:5PRP-4SB1-JPP5-21FV-00000-00&amp;context=" TargetMode="External" /><Relationship Id="rId16" Type="http://schemas.openxmlformats.org/officeDocument/2006/relationships/hyperlink" Target="https://advance.lexis.com/api/document?collection=cases&amp;id=urn:contentItem:5R2M-8411-JK4W-M082-00000-00&amp;context=" TargetMode="External" /><Relationship Id="rId17" Type="http://schemas.openxmlformats.org/officeDocument/2006/relationships/hyperlink" Target="https://advance.lexis.com/api/document?collection=cases&amp;id=urn:contentItem:56NS-KN61-F04C-Y2SK-00000-00&amp;context=" TargetMode="External" /><Relationship Id="rId18" Type="http://schemas.openxmlformats.org/officeDocument/2006/relationships/hyperlink" Target="https://advance.lexis.com/api/document?collection=statutes-legislation&amp;id=urn:contentItem:4YF7-GKV1-NRF4-43V6-00000-00&amp;context=" TargetMode="External" /><Relationship Id="rId19" Type="http://schemas.openxmlformats.org/officeDocument/2006/relationships/hyperlink" Target="https://advance.lexis.com/api/document?collection=cases&amp;id=urn:contentItem:5FK7-J4F1-F04C-W0D6-00000-00&amp;context=&amp;link=LNHNREFclscc1" TargetMode="External" /><Relationship Id="rId2" Type="http://schemas.openxmlformats.org/officeDocument/2006/relationships/settings" Target="settings.xml" /><Relationship Id="rId20" Type="http://schemas.openxmlformats.org/officeDocument/2006/relationships/image" Target="media/image2.png" /><Relationship Id="rId21" Type="http://schemas.openxmlformats.org/officeDocument/2006/relationships/hyperlink" Target="https://advance.lexis.com/api/document?collection=cases&amp;id=urn:contentItem:5FK7-J4F1-F04C-W0D6-00000-00&amp;context=&amp;link=LNHNREFclscc2"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cases&amp;id=urn:contentItem:5FK7-J4F1-F04C-W0D6-00000-00&amp;context=&amp;link=LNHNREFclscc3" TargetMode="External" /><Relationship Id="rId24" Type="http://schemas.openxmlformats.org/officeDocument/2006/relationships/hyperlink" Target="https://advance.lexis.com/api/document?collection=cases&amp;id=urn:contentItem:5FK7-J4F1-F04C-W0D6-00000-00&amp;context=&amp;link=LNHNREFclscc4" TargetMode="External" /><Relationship Id="rId25" Type="http://schemas.openxmlformats.org/officeDocument/2006/relationships/hyperlink" Target="https://advance.lexis.com/api/document?collection=cases&amp;id=urn:contentItem:5FK7-J4F1-F04C-W0D6-00000-00&amp;context=&amp;link=LNHNREFclscc5" TargetMode="External" /><Relationship Id="rId26" Type="http://schemas.openxmlformats.org/officeDocument/2006/relationships/hyperlink" Target="https://advance.lexis.com/api/document?collection=cases&amp;id=urn:contentItem:5FK7-J4F1-F04C-W0D6-00000-00&amp;context=&amp;link=LNHNREFclscc6" TargetMode="External" /><Relationship Id="rId27" Type="http://schemas.openxmlformats.org/officeDocument/2006/relationships/hyperlink" Target="https://advance.lexis.com/api/document?collection=cases&amp;id=urn:contentItem:5FK7-J4F1-F04C-W0D6-00000-00&amp;context=&amp;link=LNHNREFclscc7" TargetMode="External" /><Relationship Id="rId28" Type="http://schemas.openxmlformats.org/officeDocument/2006/relationships/hyperlink" Target="https://advance.lexis.com/api/document?collection=cases&amp;id=urn:contentItem:5FK7-J4F1-F04C-W0D6-00000-00&amp;context=&amp;link=LNHNREFclscc8" TargetMode="External" /><Relationship Id="rId29" Type="http://schemas.openxmlformats.org/officeDocument/2006/relationships/hyperlink" Target="https://advance.lexis.com/api/document?collection=cases&amp;id=urn:contentItem:5FK7-J4F1-F04C-W0D6-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K7-J4F1-F04C-W0D6-00000-00&amp;context=&amp;link=LNHNREFclscc10" TargetMode="External" /><Relationship Id="rId31" Type="http://schemas.openxmlformats.org/officeDocument/2006/relationships/hyperlink" Target="https://advance.lexis.com/api/document?collection=cases&amp;id=urn:contentItem:5FK7-J4F1-F04C-W0D6-00000-00&amp;context=&amp;link=LNHNREFclscc11" TargetMode="External" /><Relationship Id="rId32" Type="http://schemas.openxmlformats.org/officeDocument/2006/relationships/hyperlink" Target="https://advance.lexis.com/api/document?collection=cases&amp;id=urn:contentItem:5FK7-J4F1-F04C-W0D6-00000-00&amp;context=&amp;link=LNHNREFclscc12" TargetMode="External" /><Relationship Id="rId33" Type="http://schemas.openxmlformats.org/officeDocument/2006/relationships/hyperlink" Target="https://advance.lexis.com/api/document?collection=cases&amp;id=urn:contentItem:5FK7-J4F1-F04C-W0D6-00000-00&amp;context=&amp;link=LNHNREFclscc13" TargetMode="External" /><Relationship Id="rId34" Type="http://schemas.openxmlformats.org/officeDocument/2006/relationships/hyperlink" Target="https://advance.lexis.com/api/document?collection=statutes-legislation&amp;id=urn:contentItem:5GYC-1WP1-6N19-F0YN-00000-00&amp;context=" TargetMode="External" /><Relationship Id="rId35" Type="http://schemas.openxmlformats.org/officeDocument/2006/relationships/hyperlink" Target="https://advance.lexis.com/api/document?collection=cases&amp;id=urn:contentItem:5FK7-J4F1-F04C-W0D6-00000-00&amp;context=&amp;link=LNHNREFclscc14" TargetMode="External" /><Relationship Id="rId36" Type="http://schemas.openxmlformats.org/officeDocument/2006/relationships/hyperlink" Target="https://advance.lexis.com/api/document?collection=cases&amp;id=urn:contentItem:5FK7-J4F1-F04C-W0D6-00000-00&amp;context=&amp;link=LNHNREFclscc15" TargetMode="External" /><Relationship Id="rId37" Type="http://schemas.openxmlformats.org/officeDocument/2006/relationships/hyperlink" Target="https://advance.lexis.com/api/document?collection=cases&amp;id=urn:contentItem:5FK7-J4F1-F04C-W0D6-00000-00&amp;context=&amp;link=LNHNREFclscc16" TargetMode="External" /><Relationship Id="rId38" Type="http://schemas.openxmlformats.org/officeDocument/2006/relationships/hyperlink" Target="https://advance.lexis.com/api/document?collection=cases&amp;id=urn:contentItem:5FK7-J4F1-F04C-W0D6-00000-00&amp;context=&amp;link=LNHNREFclscc17" TargetMode="External" /><Relationship Id="rId39" Type="http://schemas.openxmlformats.org/officeDocument/2006/relationships/hyperlink" Target="https://advance.lexis.com/api/document?collection=statutes-legislation&amp;id=urn:contentItem:5BKJ-YPT1-6VSV-005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K7-J4F1-F04C-W0D6-00000-00&amp;context=&amp;link=LNHNREFclscc18" TargetMode="External" /><Relationship Id="rId41" Type="http://schemas.openxmlformats.org/officeDocument/2006/relationships/hyperlink" Target="https://advance.lexis.com/api/document?collection=cases&amp;id=urn:contentItem:5FK7-J4F1-F04C-W0D6-00000-00&amp;context=&amp;link=LNHNREFclscc19" TargetMode="External" /><Relationship Id="rId42" Type="http://schemas.openxmlformats.org/officeDocument/2006/relationships/hyperlink" Target="https://advance.lexis.com/api/document?collection=statutes-legislation&amp;id=urn:contentItem:5SW5-BR00-004G-43WB-00000-00&amp;context=" TargetMode="External" /><Relationship Id="rId43" Type="http://schemas.openxmlformats.org/officeDocument/2006/relationships/hyperlink" Target="https://advance.lexis.com/api/document?collection=cases&amp;id=urn:contentItem:5FK7-J4F1-F04C-W0D6-00000-00&amp;context=&amp;link=LNHNREFclscc20" TargetMode="External" /><Relationship Id="rId44" Type="http://schemas.openxmlformats.org/officeDocument/2006/relationships/hyperlink" Target="https://advance.lexis.com/api/document?collection=statutes-legislation&amp;id=urn:contentItem:5B63-3F91-6M80-44N2-00000-00&amp;context=" TargetMode="External" /><Relationship Id="rId45" Type="http://schemas.openxmlformats.org/officeDocument/2006/relationships/hyperlink" Target="https://advance.lexis.com/api/document?collection=statutes-legislation&amp;id=urn:contentItem:5B63-3F91-6M80-44P2-00000-00&amp;context=" TargetMode="External" /><Relationship Id="rId46" Type="http://schemas.openxmlformats.org/officeDocument/2006/relationships/hyperlink" Target="https://advance.lexis.com/api/document?collection=cases&amp;id=urn:contentItem:5FK7-J4F1-F04C-W0D6-00000-00&amp;context=&amp;link=LNHNREFclscc21" TargetMode="External" /><Relationship Id="rId47" Type="http://schemas.openxmlformats.org/officeDocument/2006/relationships/hyperlink" Target="https://advance.lexis.com/api/document?collection=cases&amp;id=urn:contentItem:5FK7-J4F1-F04C-W0D6-00000-00&amp;context=&amp;link=LNHNREFclscc22" TargetMode="External" /><Relationship Id="rId48" Type="http://schemas.openxmlformats.org/officeDocument/2006/relationships/hyperlink" Target="https://advance.lexis.com/api/document?collection=cases&amp;id=urn:contentItem:5FK7-J4F1-F04C-W0D6-00000-00&amp;context=&amp;link=LNHNREFclscc23" TargetMode="External" /><Relationship Id="rId49" Type="http://schemas.openxmlformats.org/officeDocument/2006/relationships/hyperlink" Target="https://advance.lexis.com/api/document?collection=cases&amp;id=urn:contentItem:5FK7-J4F1-F04C-W0D6-00000-00&amp;context=&amp;link=LNHNREFclscc2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K7-J4F1-F04C-W0D6-00000-00&amp;context=&amp;link=clscc1" TargetMode="External" /><Relationship Id="rId51" Type="http://schemas.openxmlformats.org/officeDocument/2006/relationships/image" Target="media/image3.png" /><Relationship Id="rId52" Type="http://schemas.openxmlformats.org/officeDocument/2006/relationships/hyperlink" Target="https://advance.lexis.com/api/document?collection=cases&amp;id=urn:contentItem:3S4X-2840-006F-M0BM-00000-00&amp;context=" TargetMode="External" /><Relationship Id="rId53" Type="http://schemas.openxmlformats.org/officeDocument/2006/relationships/hyperlink" Target="https://advance.lexis.com/api/document?collection=cases&amp;id=urn:contentItem:3W3V-6V90-0038-X204-00000-00&amp;context=" TargetMode="External" /><Relationship Id="rId54" Type="http://schemas.openxmlformats.org/officeDocument/2006/relationships/hyperlink" Target="https://advance.lexis.com/api/document?collection=cases&amp;id=urn:contentItem:5FK7-J4F1-F04C-W0D6-00000-00&amp;context=&amp;link=clscc2" TargetMode="External" /><Relationship Id="rId55" Type="http://schemas.openxmlformats.org/officeDocument/2006/relationships/hyperlink" Target="https://advance.lexis.com/api/document?collection=cases&amp;id=urn:contentItem:3S4W-V0B0-003B-G1RW-00000-00&amp;context=" TargetMode="External" /><Relationship Id="rId56" Type="http://schemas.openxmlformats.org/officeDocument/2006/relationships/hyperlink" Target="https://advance.lexis.com/api/document?collection=cases&amp;id=urn:contentItem:3S4X-J8N0-0039-W456-00000-00&amp;context=" TargetMode="External" /><Relationship Id="rId57" Type="http://schemas.openxmlformats.org/officeDocument/2006/relationships/hyperlink" Target="https://advance.lexis.com/api/document?collection=cases&amp;id=urn:contentItem:4W9Y-4KS0-TXFX-1325-00000-00&amp;context=" TargetMode="External" /><Relationship Id="rId58" Type="http://schemas.openxmlformats.org/officeDocument/2006/relationships/hyperlink" Target="https://advance.lexis.com/api/document?collection=cases&amp;id=urn:contentItem:4NSN-8840-004C-002M-00000-00&amp;context=" TargetMode="External" /><Relationship Id="rId59" Type="http://schemas.openxmlformats.org/officeDocument/2006/relationships/hyperlink" Target="https://advance.lexis.com/api/document?collection=cases&amp;id=urn:contentItem:3S4X-28G0-006F-M0F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K7-J4F1-F04C-W0D6-00000-00&amp;context=&amp;link=clscc3" TargetMode="External" /><Relationship Id="rId61" Type="http://schemas.openxmlformats.org/officeDocument/2006/relationships/hyperlink" Target="https://advance.lexis.com/api/document?collection=cases&amp;id=urn:contentItem:58NW-3VK1-F04K-F006-00000-00&amp;context=" TargetMode="External" /><Relationship Id="rId62" Type="http://schemas.openxmlformats.org/officeDocument/2006/relationships/hyperlink" Target="https://advance.lexis.com/api/document?collection=statutes-legislation&amp;id=urn:contentItem:4YF7-GNC1-NRF4-4393-00000-00&amp;context=" TargetMode="External" /><Relationship Id="rId63" Type="http://schemas.openxmlformats.org/officeDocument/2006/relationships/hyperlink" Target="https://advance.lexis.com/api/document?collection=cases&amp;id=urn:contentItem:4KR5-1WN0-0038-X3VR-00000-00&amp;context=" TargetMode="External" /><Relationship Id="rId64" Type="http://schemas.openxmlformats.org/officeDocument/2006/relationships/hyperlink" Target="https://advance.lexis.com/api/document?collection=cases&amp;id=urn:contentItem:4TP4-8KD0-TX4N-G00D-00000-00&amp;context=" TargetMode="External" /><Relationship Id="rId65" Type="http://schemas.openxmlformats.org/officeDocument/2006/relationships/hyperlink" Target="https://advance.lexis.com/api/document?collection=cases&amp;id=urn:contentItem:5647-6VH1-F04K-K13B-00000-00&amp;context=" TargetMode="External" /><Relationship Id="rId66" Type="http://schemas.openxmlformats.org/officeDocument/2006/relationships/hyperlink" Target="https://advance.lexis.com/api/document?collection=cases&amp;id=urn:contentItem:48V2-4HF0-0038-X1CW-00000-00&amp;context=" TargetMode="External" /><Relationship Id="rId67" Type="http://schemas.openxmlformats.org/officeDocument/2006/relationships/hyperlink" Target="https://advance.lexis.com/api/document?collection=cases&amp;id=urn:contentItem:7XW6-R5S0-YB0M-X003-00000-00&amp;context=" TargetMode="External" /><Relationship Id="rId68" Type="http://schemas.openxmlformats.org/officeDocument/2006/relationships/hyperlink" Target="https://advance.lexis.com/api/document?collection=cases&amp;id=urn:contentItem:55GR-M6W1-F04K-X0RR-00000-00&amp;context=" TargetMode="External" /><Relationship Id="rId69" Type="http://schemas.openxmlformats.org/officeDocument/2006/relationships/hyperlink" Target="https://advance.lexis.com/api/document?collection=cases&amp;id=urn:contentItem:5F5R-5YK1-F04F-400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DMF-SK01-F04C-T341-00000-00&amp;context=" TargetMode="External" /><Relationship Id="rId71" Type="http://schemas.openxmlformats.org/officeDocument/2006/relationships/hyperlink" Target="https://advance.lexis.com/api/document?collection=cases&amp;id=urn:contentItem:5D9K-NSM1-F04D-W29T-00000-00&amp;context=" TargetMode="External" /><Relationship Id="rId72" Type="http://schemas.openxmlformats.org/officeDocument/2006/relationships/hyperlink" Target="https://advance.lexis.com/api/document?collection=cases&amp;id=urn:contentItem:5D3F-3Y11-F04F-42BD-00000-00&amp;context=" TargetMode="External" /><Relationship Id="rId73" Type="http://schemas.openxmlformats.org/officeDocument/2006/relationships/hyperlink" Target="https://advance.lexis.com/api/document?collection=cases&amp;id=urn:contentItem:5D2P-5SX1-F04F-601K-00000-00&amp;context=" TargetMode="External" /><Relationship Id="rId74" Type="http://schemas.openxmlformats.org/officeDocument/2006/relationships/hyperlink" Target="https://advance.lexis.com/api/document?collection=cases&amp;id=urn:contentItem:5BC4-CSD1-F04D-W4N0-00000-00&amp;context=" TargetMode="External" /><Relationship Id="rId75" Type="http://schemas.openxmlformats.org/officeDocument/2006/relationships/hyperlink" Target="https://advance.lexis.com/api/document?collection=cases&amp;id=urn:contentItem:59BB-KNF1-F04D-D05Y-00000-00&amp;context=" TargetMode="External" /><Relationship Id="rId76" Type="http://schemas.openxmlformats.org/officeDocument/2006/relationships/hyperlink" Target="https://advance.lexis.com/api/document?collection=cases&amp;id=urn:contentItem:598Y-7VX1-F04D-W0CF-00000-00&amp;context=" TargetMode="External" /><Relationship Id="rId77" Type="http://schemas.openxmlformats.org/officeDocument/2006/relationships/hyperlink" Target="https://advance.lexis.com/api/document?collection=cases&amp;id=urn:contentItem:5FK7-J4F1-F04C-W0D6-00000-00&amp;context=&amp;link=clscc4" TargetMode="External" /><Relationship Id="rId78" Type="http://schemas.openxmlformats.org/officeDocument/2006/relationships/hyperlink" Target="https://advance.lexis.com/api/document?collection=cases&amp;id=urn:contentItem:3S4X-DRC0-003B-S48H-00000-00&amp;context=" TargetMode="External" /><Relationship Id="rId79" Type="http://schemas.openxmlformats.org/officeDocument/2006/relationships/hyperlink" Target="https://advance.lexis.com/api/document?collection=cases&amp;id=urn:contentItem:3S4W-VNM0-0039-M0S2-00000-00&amp;context=" TargetMode="External" /><Relationship Id="rId8" Type="http://schemas.openxmlformats.org/officeDocument/2006/relationships/hyperlink" Target="https://advance.lexis.com/api/shepards?id=urn:contentItem:5FJC-XB71-J9X5-R2DW-00000-00&amp;category=initial&amp;context=" TargetMode="External" /><Relationship Id="rId80" Type="http://schemas.openxmlformats.org/officeDocument/2006/relationships/hyperlink" Target="https://advance.lexis.com/api/document?collection=cases&amp;id=urn:contentItem:5B16-BG01-F04K-J111-00000-00&amp;context=" TargetMode="External" /><Relationship Id="rId81" Type="http://schemas.openxmlformats.org/officeDocument/2006/relationships/hyperlink" Target="https://advance.lexis.com/api/document?collection=cases&amp;id=urn:contentItem:57H2-W0K1-F04F-00S5-00000-00&amp;context=" TargetMode="External" /><Relationship Id="rId82" Type="http://schemas.openxmlformats.org/officeDocument/2006/relationships/hyperlink" Target="https://advance.lexis.com/api/document?collection=cases&amp;id=urn:contentItem:4JJ8-DDX0-TVW3-P2DS-00000-00&amp;context=" TargetMode="External" /><Relationship Id="rId83" Type="http://schemas.openxmlformats.org/officeDocument/2006/relationships/hyperlink" Target="https://advance.lexis.com/api/document?collection=cases&amp;id=urn:contentItem:48N9-FFY0-0038-Y03R-00000-00&amp;context=" TargetMode="External" /><Relationship Id="rId84" Type="http://schemas.openxmlformats.org/officeDocument/2006/relationships/hyperlink" Target="https://advance.lexis.com/api/document?collection=cases&amp;id=urn:contentItem:423H-5CH0-0038-Y14J-00000-00&amp;context=" TargetMode="External" /><Relationship Id="rId85" Type="http://schemas.openxmlformats.org/officeDocument/2006/relationships/hyperlink" Target="https://advance.lexis.com/api/document?collection=cases&amp;id=urn:contentItem:5FK7-J4F1-F04C-W0D6-00000-00&amp;context=&amp;link=clscc5" TargetMode="External" /><Relationship Id="rId86" Type="http://schemas.openxmlformats.org/officeDocument/2006/relationships/hyperlink" Target="https://advance.lexis.com/api/document?collection=cases&amp;id=urn:contentItem:4DGB-TC80-0038-Y415-00000-00&amp;context=" TargetMode="External" /><Relationship Id="rId87" Type="http://schemas.openxmlformats.org/officeDocument/2006/relationships/hyperlink" Target="https://advance.lexis.com/api/document?collection=cases&amp;id=urn:contentItem:456G-Y290-0038-Y0W0-00000-00&amp;context=" TargetMode="External" /><Relationship Id="rId88" Type="http://schemas.openxmlformats.org/officeDocument/2006/relationships/hyperlink" Target="https://advance.lexis.com/api/document?collection=cases&amp;id=urn:contentItem:58FY-BGV1-F04F-B011-00000-00&amp;context=" TargetMode="External" /><Relationship Id="rId89" Type="http://schemas.openxmlformats.org/officeDocument/2006/relationships/hyperlink" Target="https://advance.lexis.com/api/document?collection=cases&amp;id=urn:contentItem:5FK7-J4F1-F04C-W0D6-00000-00&amp;context=&amp;link=clscc6"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K7-J4F1-F04C-W0D6-00000-00&amp;context=&amp;link=clscc7" TargetMode="External" /><Relationship Id="rId91" Type="http://schemas.openxmlformats.org/officeDocument/2006/relationships/hyperlink" Target="https://advance.lexis.com/api/document?collection=cases&amp;id=urn:contentItem:5FK7-J4F1-F04C-W0D6-00000-00&amp;context=&amp;link=clscc8" TargetMode="External" /><Relationship Id="rId92" Type="http://schemas.openxmlformats.org/officeDocument/2006/relationships/hyperlink" Target="https://advance.lexis.com/api/document?collection=cases&amp;id=urn:contentItem:5D49-6141-F04D-W16T-00000-00&amp;context=" TargetMode="External" /><Relationship Id="rId93" Type="http://schemas.openxmlformats.org/officeDocument/2006/relationships/hyperlink" Target="https://advance.lexis.com/api/document?collection=cases&amp;id=urn:contentItem:5FK7-J4F1-F04C-W0D6-00000-00&amp;context=&amp;link=clscc9" TargetMode="External" /><Relationship Id="rId94" Type="http://schemas.openxmlformats.org/officeDocument/2006/relationships/hyperlink" Target="https://advance.lexis.com/api/document?collection=cases&amp;id=urn:contentItem:7YBR-9JP1-652R-023R-00000-00&amp;context=" TargetMode="External" /><Relationship Id="rId95" Type="http://schemas.openxmlformats.org/officeDocument/2006/relationships/hyperlink" Target="https://advance.lexis.com/api/document?collection=cases&amp;id=urn:contentItem:5FK7-J4F1-F04C-W0D6-00000-00&amp;context=&amp;link=clscc10" TargetMode="External" /><Relationship Id="rId96" Type="http://schemas.openxmlformats.org/officeDocument/2006/relationships/hyperlink" Target="https://advance.lexis.com/api/document?collection=cases&amp;id=urn:contentItem:3S4X-G490-003B-S2W3-00000-00&amp;context=" TargetMode="External" /><Relationship Id="rId97" Type="http://schemas.openxmlformats.org/officeDocument/2006/relationships/hyperlink" Target="https://advance.lexis.com/api/document?collection=cases&amp;id=urn:contentItem:3S4X-J8H0-003B-S4P3-00000-00&amp;context=" TargetMode="External" /><Relationship Id="rId98" Type="http://schemas.openxmlformats.org/officeDocument/2006/relationships/hyperlink" Target="https://advance.lexis.com/api/document?collection=cases&amp;id=urn:contentItem:3SF1-MSY0-0038-X3WT-00000-00&amp;context=" TargetMode="External" /><Relationship Id="rId99" Type="http://schemas.openxmlformats.org/officeDocument/2006/relationships/hyperlink" Target="https://advance.lexis.com/api/document?collection=cases&amp;id=urn:contentItem:5FK7-J4F1-F04C-W0D6-00000-00&amp;context=&amp;link=clscc1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