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Blue Cross Blue Shield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 (Mdl No. 2406)</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Alabama,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6, 2017, Decided; July 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2:13-cv-20000-RDP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106111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2889679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(MDL No. 2406)</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Blue Cross Blue Shield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26 F. Supp. 3d 1172, 2014 U.S. Dist. LEXIS 82795 (N.D. Ala., June 18,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documents, coverage, Provider, Plans, discovery, work-product, motion to compel, re-insurance, privileged, employees, non-party, releases, entity, professional liability insurance, prior litigation, assessments, themselves, parties, liability insurance, work product, communications, non-privileged,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subpoenas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HOLDINGS: [1]-Given the likelihood that most of the responsive documents relating to Professional Liability insurance coverage would be subject to some privilege or work-product protection, the burden and expense of searching for the remaining non-privileged responsive documents outweighed the potential benefit; [2]-Because documents related to releases executed in prior litigation were likely either work-product protected or irrelevant, the motion to compel was denied as to this category of documents.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Plaintiffs' motion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Privileged Communications &gt; Work Product Doctrine &gt; Opinion Work Product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Work Product Doctrine, Opinion Work Product</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While opinion work product enjoys almost absolute immunity, extraordinary circumstances may exist that justify a departure from this protection.</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Relevance of Discoverable Information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Relevance of Discoverable Information</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defines the scope of discovery as involving any nonprivileged matter that is relevant to any party's claim or defense and proportional to the needs of the case. Whether a particular discovery request is proportional to the needs of the case is weighed against several non-exhaustive factors: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Relevance of Discoverable Information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Subpoenas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Relevance of Discoverable Information</w:t>
      </w:r>
    </w:p>
    <w:p>
      <w:pPr>
        <w:keepNext w:val="0"/>
        <w:widowControl w:val="0"/>
        <w:spacing w:before="240" w:after="0" w:line="260" w:lineRule="atLeast"/>
        <w:ind w:left="0" w:right="0" w:firstLine="0"/>
        <w:jc w:val="both"/>
      </w:pPr>
      <w:bookmarkStart w:id="15" w:name="Bookmark_hnpara_3"/>
      <w:bookmarkEnd w:id="15"/>
      <w:hyperlink r:id="rId16" w:history="1">
        <w:r>
          <w:rPr>
            <w:rFonts w:ascii="arial" w:eastAsia="arial" w:hAnsi="arial" w:cs="arial"/>
            <w:b w:val="0"/>
            <w:i/>
            <w:strike w:val="0"/>
            <w:color w:val="0077CC"/>
            <w:sz w:val="20"/>
            <w:u w:val="single"/>
            <w:vertAlign w:val="baseline"/>
          </w:rPr>
          <w:t>Fed. R. Civ. P. 45</w:t>
        </w:r>
      </w:hyperlink>
      <w:r>
        <w:rPr>
          <w:rFonts w:ascii="arial" w:eastAsia="arial" w:hAnsi="arial" w:cs="arial"/>
          <w:b w:val="0"/>
          <w:i w:val="0"/>
          <w:strike w:val="0"/>
          <w:noProof w:val="0"/>
          <w:color w:val="000000"/>
          <w:position w:val="0"/>
          <w:sz w:val="20"/>
          <w:u w:val="none"/>
          <w:vertAlign w:val="baseline"/>
        </w:rPr>
        <w:t xml:space="preserve"> requires the court and parties to take steps to avoid unnecessary burdens on non-parties. For this reason, discovery sought by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from a non-party must be necessary, narrowly focused, and easily responded to without unnecessary burden or expense. Additionally, as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is a type of discovery device, discovery requests under it must also comply with the proportionality requirement of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6" w:name="Counsel"/>
      <w:bookmarkEnd w:id="1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In Re: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MDL 2406, M Patrick McDowell, BRUNINI GRANTHAM GROWER &amp; HEWES PLLC,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Special Master, Special Master: Edgar C Gentle, III, Gentle Turner Sexton &amp; Harbison, Hoover,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Counsel, Plaintiff: Davis Cooper, Harold S Reeves, Howard C Nielson, Jr, LEAD ATTORNEYS, COOPER &amp; KIRK PLLC, Washington, DC; Greg Wright, LEAD ATTORNEY, WRIGHT SCHIMMEL LLC, Overland Park, KS; Helen Lynne Eckinger, LEAD ATTORNEY, Joe R Whatley, Jr, WHATLEY KALLAS LLP, Birmingham, AL; Joseph H Webster, LEAD ATTORNEY, CHAPMAN LEWIS &amp; SWAN PLLC, Clarksdale, MS; Megan Jones, William Butterfield, LEAD ATTORNEYS, Braden Beard, Jeannine M Kenney, Melinda Coolidge, Michael D Hausfeld, Swathi Bojedla, HAUSFELD LLP, Washington, DC; Richard A Feinstein, LEAD ATTORNEY, Hamish P.M. Hume, William A Isaacson, BOIES SCHILLER &amp; FLEXNER LLP, Washington, DC; Ami Swank, Ami Swank Law Firm, Norman, OK; Andrea Layne Stackhouse, Jones Ward PLC, Louisville, KY; Andrew England Brashier, Archibald I Grubb, II, Leslie Lee Ann Pescia, Wilson Daniel Miles, III, BEASLEY ALLEN CROW METHVIN PORTIS &amp; MILES PC, Montgomery, AL; Andrew Allen Lemmon, Irma L Netting, Lemmon Law</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Firm, Hahnville, LA; Andrew M Stone, STONE LAW FIRM LLC, Pittsburgh, PA; Annesley H DeGaris, Birmingham, AL; Anthony F. Jackson, BECK &amp; AMSDEN, Bozeman, MT; Archie C Lamb, Jr, ARCHIE LAMB AND ASSOCIATES LLC, Birmingham, AL; Arthur N Bailey, Jr, HAUSFELD LLP, San Francisco, CA; Augusta S Dowd, Hope S Marshall, J Mark White, Linda G Flippo, WHITE ARNOLD &amp; DOWD PC, Birmingham, AL; Barry A Ragsdale, SIROTE &amp; PERMUTT PC, Birmingham, AL; Ben W Gordon, Jr, LEVIN PAPANTONIO THOMAS MITCHELL RAFFERTY &amp; PROCTOR, Pensacola, FL; Benjamin L Barnes, Benjamin L Barnes Attorney and Counselor at Law, Oklahoma City, OK; Benjamin J Sweet, CARLSON LYNCH SWEET &amp; KIPELA, Pittsburgh, PA; Bradley A Wasser, David A Balto, LAW OFFICES OF DAVID BALTO, Washington, DC; Brian M Clark, WIGGINS CHILDS PANTAZIS FISHER &amp; GOLDFARB, Birmingham, AL; Brian E Wojtalewicz, WOJTALEWICZ LAW FIRM LTD, Appleton, MN; Bruce C Jones, Eric B Swartz, JONES &amp; SWARTZ PLLC, Boise, ID; Bryan L Clobes, CAFFERTY CLOBES MERIWETHER &amp; SPRENGEL LLP, Philadelphia, PA; Carl S Kravitz, PRO HAC VICE, Zuckerman Spaeder LLP, Washington, DC; Carl Wesley Pittman, THE PITTMAN FIRM PA, Panama City, FL; Casey Langston Lott, LANGTSON &amp; LOTT, P.A., Booneville,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MS; Charles D Hudson, PENN AND SEABORN LLC, Montgomery, AL; Charles C Hunter, HAYES HUNGER PC, Houston, TX; Charles M Thompson, CHARLES M THOMPSON PC, Birmingham, AL; Charles R Watkins, GUIN STOKES &amp; EVANS LLC, Chicago, IL; Christina D Crow, Lynn W Jinks, III, Nathan A Dickson, II, JINKS CROW &amp; DICKSON PC, Union Springs, AL; Christopher T Cain, SCOTT &amp; CAIN, Knoxville, TN; Christopher L Coffin, Nicholas R Rockforte, Stanley P Baudin, PENDLEY BAUDIN &amp; COFFIN LLP, Plaquemine, LA; Christopher T Hellums, PITTMAN DUTTON &amp; HELLUMS PC, Birmingham, AL; Clint Sargent, MEIERHENRY SARGENT LLP, Sioux Falls, SD; Cyril V Smith, III, ZUCKERMAN SPAEDER LLP, Baltimore, MD; D Brian Hufford, ZUCKERMAN SPAEDER LLP, New York, NY; Dale Ernest Akins, AKINS LAW FIRM, Unit A, Bluffton, SC; Daniel E Gustafson, Daniel C Hedlund, Ellen M Ahrens, GUSTAFSON GLUEK PLLC, Minneapolis, MN; Daniel Patrick Moylan, PRO HAC VICE, ZUCKERMAN SPAEDER LLP, Baltimore, MD; Daniel E. Phillips, SOLBERG STEWART MILLER, FARGO, ND; Daniel A Small, Laura Alexander, Meghan M Boone, COHEN MILSTEIN SELLERS &amp; TOLL PLLC, Washington, DC; David Boies, BOIES SCHILLER &amp; FLEXNER LLP, Armonk, NY; David F Evans, O'Kelley H Pearson, HICKEY &amp; EVANS,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Cheyenne, WY; David J Guin, Tammy McClendon Stokes, GUIN STOKES &amp; EVANS LLC, Birmingham, AL; David J Hodge, MORRIS KING &amp; HODGE, Huntsville, AL; David M Wilkerson, THE VAN WINKLE LAW FIRM, Asheville, NC; Deborah J Winegard, WHATLEY KALLAS LLC, Atlanta, GA; Debra B Hayes, THE HAYES LAW FIRM, Kingwood, TX; Dennis G Pantazis, WIGGINS CHILDS PANTAZIS FISHER &amp; GOLDFARB LLC, Birmingham, AL; Dennis Craig Reich, REICH &amp; BINSTOCK LLP, Houston, TX; Dianne M Nast, Erin C Burns, NASTLAW LLC, Philadelphia, PA; Donald D Knowlton, II, Gadsden, AL; Donna Smith Cude, John D Saxon, JOHN D SAXON PC, Birmingham, AL; Douglas A Dellaccio, Jr, CORY WATSON CROWDER &amp; DEGARIS PC, Birmingham, AL; Earnest William Wotring, Connelly Baker Wotring LLP, Houston, TX; Edgar Dean Gankendorff, PROVOATY &amp; GANKENDORFF LLC, New Orleans, LA; Edith M Kallas, WHATLEY KALLAS LLC, New York, NY; Edward K Wood, Jr, Michael E Gurley, Jr, WOOD LAW FIRM LLC, Birmingham, AL; Edwin J Kilpela, Jr, CARLSON LYNCH LTD, Pittsburgh, PA; Ellen Meriwether, CAFFERTY CLOBES MERIWETHER &amp; SPRENGEL LLP, Phildelphia, PA; Emily Hawk Mills, CUSIMANO ROBERTS &amp; MILLS LLC, Gadsden, AL; Eric R Belin, PROVOSTY &amp; GANKENDORFF LLC, New Orleans, LA; Gail 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McQuilkin, Harley S Tropin, KOZYAK TROPIN &amp; THROCKMORTON PA, Coral Gables, FL; Garrett D Blanchfield, REINHARDT WENDORF &amp; BLANCHFIELD, St. Paul, MN; Gary E Mason, WHITFIELD BRYSON &amp; MASON LLP, Washington, AL; Genevieve M Zimmerman, Meshbesher &amp; Spence, Minneapolis, MN; Gerald F. Easter, GERALD F. EASTER, ATTORNEY AT LAW, Memphis, TN; Glen M Connor, QUINN CONNOR WEAVER DAVIES &amp; ROUCO, Birmingham, AL; Gregory S Cusimano, CUSIMANO ROBERTS KNOWLES &amp; MILLS, LLC, Gadsden, AL; Gregory L Davis, DAVIS &amp; TALIAFERRO LLC, Montgomery, AL; Gwendolyn J Simons, SIMONS &amp; ASSOCIATES LAW PA, Scarborough, ME; H Lewis Gillis, MEANS GILLIS LAW, LLC, Montgomery, AL; Henry C Quillen, WHATLEY KALLAS LLP, Portsmouth, NH; Herman Watson, Jr, Rebekah Keith McKinney, WATSON MCKINNEY LLP, Huntsville, AL; J Michael Malone, Hendren &amp; Malone PLLC, Raleigh, NC; J Allen Schreiber, Peter H Burke, BURKE HARVEY LLC, Birmingham, AL; James G Adams, Jr, Julia Smeds Roth, Nicholas B Roth, EYSTER KEY TUBB ROTH MIDDLETON &amp; ADAMS LLP, Decatur, AL; James P Carr, Tyler J Barnett, YUHL CARR LLP, Marina Del Rey, CA; James Wells Harrell, Kathleen Simpson Kiernan, PRO HAC VICE, BOIES SCHILLER &amp; FLEXNER LLP, Washington, DC; James M Terrell,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Phillip W McCallum, R G Methvin, Jr, MCCALLUM METHVIN &amp; TERRELL PC, Birmingham, AL; Janet Brooks Holmes, Temus C Miles, Jr, McKay Cauthen Settana and Stubley, Columbia, SC; Jason G. Ausman, AUSMAN LAW FIRM, Omaha, NE; Jason S Kilene, PRO HAC VICE, Gustafson Gluek PLLC, Minneapolis, MN; Jason R Rathod, WHITFIELD BRYSON &amp; MASON LLP, Washington, DC; Jason J Thompson, Kevin J Stoops, Lance Craig Young, SOMMERS SCHWARTZ PC, Southfield, MI; Javier Asis Lopez, KOZYAK TROPIN &amp; THROCKMORTON PA, Miami, FL; Jennifer Williams, Robert G Eisler, GRANT &amp; EISENHOFER PA, Wilmington, DE; Joey K James, BUNCH &amp; JAMES, Florence, AL; John Clark Davis, JOHN C DAVIS PC, Tallahassee, FL; John R. Holton, Timothy R. Holton, Deal Cooper Holton PLLC, Memphis, TN; John Doyle Nalley, LOVELL &amp; NALLEY, Benton, AR; John W Partin, PENN &amp; SEABORN LLC, Clayton, AL; John W Reis, COZEN O'CONNOR, Charlotte, NC; John R Wylie, DONALDSON GUIN LLC, Chicago, IL; Jonathan Charles Little, SAEED &amp; LITTLE, LLP, Indianapolis, IN; Jonathan S Mann, PITTMAN DUTTON &amp; HELLUMS, Birmingham, AL; Jonathan R. Voegele, Esq., Boies, Schiller &amp; Flexner LLP, Hanover, NH; Joseph Preston Strom, Jr, STROM LAW FIRM LLC, Columbia, SC; Justin W Bernick,</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 HAC VICE, HOGAN LOVELLS US LLP, Washington, DC; Karen R Dow, Baker Wotring, Houston, TX; Karen H Riebel, Rebecca A Peterson, Lockridge Grindal Nauen PLLP, Minneapolis, MN; Katherine R Brown, WHITE ARNOLD ANDREWS &amp; DOWD PC, Birmingham, AL; Kathleen Currie Chavez, FOOTE MIELKE CHAVEZ &amp; O'NEAL LLC, Geneva, IL; Lara F Phillip, HONIGMAN MILLER SCHWARTZ &amp; COHN LLP, Detroit, MI; Lawrence L. Jones, II, PRO HAC VICE, JONES WARD PLC, Louisville, KY; Lee McArthur Scott, PANAMA CITY, FL; Lisa N Hayes, REINHARDT WENDORF &amp; BLANCHFIELD, Auburn, AL; M Stephen Dampier, THE DAMPIER LAW FIRM PC, Fairhope, AL; M Patrick McDowell, BRUNINI GRANTHAM GROWER &amp; HEWES PLLC, Jackson, MS; MICHAEL J. MCCARRIE, ARTZ HEALTH LAW, PHILADELPHIA, PA; Margery S. Bronster, Rex Y. Fujichaku, BRONSTER HOSHIBATA, Honolulu, HI; Mario A Pacella, STROM LAW FIRM, Columbia, SC; Mark K Gray, GRAY &amp; WHITE, Louisville, KY; Mark J Murphy, Mooney Green Saindon Murphy and Welch PC, Washington, DC; Matthew J Herman, Robert M Foote, FOOTE MIELKE CHAVEZ &amp; O'NEIL LLC, Geneva, IL; Michael C Dodge, GLAST PHILLIPS &amp; MURRAY PC, Dallas, TX; Michael J. Fleming, KAPKE &amp; WILLERTH LLC, Lee's Summit, MO; Michael S Lyons, WHATLEY KALLAS LLP, New</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York, NY; Michael P McGartland, MCGARTLAND LAW FIRM PLLC, Ft Worth, TX; Michael L Murphy, Centreville, AL; Michael L Roberts, CUSIMANO KEENER ROBERTS KNOWLES &amp; RALEY LLC, Gadsden, AL; Michael J. Sudekum, MANDEL AND MANDEL, LLP, St. Louis, MO; Mike Miller, SOLBERG STEWART MILLER &amp; TJON, Fargo, ND; Mitchell Lloyd Berry, DYKE GOLDSHOLL &amp; WINZERLING PLC, Little Rock, AR; Monte D. Beck, BECK &amp; AMSDEN, PLLC, Bozeman, MT; Myron C Penn, PENN &amp; SEABORN LLC, Union Springs, AL; Patrick E Cafferty, CAFFERTY CLOBES MERIWETHER &amp; SPRENGEL LLP, Ann Arbor, MI; Patrick W Pendley, PENDLEY BAUDIN &amp; COFFIN LLP, Plaquermine, LA; Patrick James Quinlan, Law Offices of Patrick J. Quinlan, Providence, RI; Patrick J Sheehan, WHATLEY DRAKE &amp; KALLAS LLC, Boston, MA; R Christopher Cowan, THE COWAN LAW FIRM, Dallas, TX; Randall D Noel, BUTLER SNOW LLP, Memphis, TN; Rebecca Diane Gilliland, BEASLEY ALLEN CROW METHVIN PORTIS &amp; MILES PC, Montgmery, AL; Richard S Frankowski, THE FRANKOSKI FIRM LLC, Birmingham, AL; Richard P Rouco, QUINN CONNOR WEAVER DAVIES &amp; ROUCO LLP, Birmingham, AL; Robert J Axelrod, AXELROD &amp; DEAN LLP, New York, NY; Robert M Hatch, BRONSTER FUJICHAKU ROBBINS, Honolulu, HI; Robert B Roden, SHELBY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RODEN LLC, Birmingham, AL; Scott Allen Martin, HAUSFELD, Washington, DC; Sean T. O'Connell, SHAHEEN &amp; GORDON PA, Dover, NH; Star Mishkel Tyner, POMERANTZ GROSSMAN HUFFORD DAHLSTROM &amp; GROSS, LLP, New York, NY; Stephen M Hanson, LAW OFFICES OF STEPHEN M. HANSEN, PS, Tacoma, WA; Ta'Kisha L Guster, Decatur, AL; Thomas Bender, WALTERS BENDER STROHBEHN &amp; VAUGHN PC, Kansas City, MO; Thomas S Scott, Jr, Ball &amp; Scott Law Offices, Knoxville, TN; Thomas Michael Trucksess, PRO HAC VICE, Hogan Lovells US LLP, McLean, VA; U W Clemon, U.W. Clemon, LLC, Birmingham, AL; Van Bunch, BONNETT FAIRBOURN FRIEDMAN &amp; BALINT PCO, Phoenix, AZ; W Gordon Ball, GORDON BALL LAW OFFICE, Knoxville, TN; W Tucker Brown, WHATLEYKALLAS LLC, Birmingham, AL; William David George, Baker Wotring LLP, Houston, TX; William H Horton, GIARMARCO MULLINS &amp; HORTON PC,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Liaison Counsel, Plaintiff: Barry A Ragsdale, SIROTE &amp; PERMUTT PC, Birmingham, AL; Ben W Gordon, Jr, LEVIN PAPANTONIO THOMAS MITCHELL RAFFERTY &amp; PROCTOR, Pensacola, FL; Mario A Pacella, STROM LAW FIRM, Columbia, SC; Rebekah Keith McKinney, WATSON MCKINNEY LLP, Huntsville,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Counsel, Defendant: Zarel Joan Soto, LEAD ATTORNEY,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PRO HAC VICE, REICHARD &amp; ESCALARA LLC; Aaron G McLeod, Stephen A Rowe, ADAMS &amp; REESE LLP, Birmingham, AL; Adam H Charnes, Chad Dwight Hansen, Kilpatrick Townsend &amp; Stockton LLP, Winston-Salem, NC; Alan D Rutenberg, Erik F Benny, Samantha A Robbins, FOLEY &amp; LARDNER LLP, Washington, DC; Allison Nunley Pham, Baton Rouge, LA; Andrew Phillip Campbell, Andrew T Campbell, Stephen D Wadsworth, CAMPBELL GUIN WILLIAMS GUY AND GIDIERE LLC, Birmingham, AL; Anna M Clark, PHILLIPS LYTLE LLP, New York, NY; Anne Salomon, Casey R Fronk, Christa C Cottrell, Daniel E Laytin, Eric White, Erica Zolner, Helen E Witt, Jessica Staiger, Sarah J Donnell, Zach Holmstead, KIRKLAND &amp; ELLIS LLP, Chicago, IL; Antonio M Clayton, Michael Paul Fruge, CLAYTON &amp; FRUGE, Port Allen, LA; April N Ross, Michael Wyld Lieberman, Crowell &amp; Moring LLP, Washington, DC; Arthur Patrick Fritzinger, Lezlie Madden, Matthew L Bleich, Paul K Leary, Jr, COZEN O'CONNOR, Philadelphia, PA; Ashley M Lowe, Baker, Donelson, Bearman, Caldwell &amp; Berkowitz, PC (Knox), Knoxville, TN; Brian P Kappel, John M Johnson, LIGHTFOOT FRANKLIN &amp; WHITE LLC, Birmingham, AL; Brian K Norman, SHAMOUN &amp; NORMAN LLP, Farmers Branch, TX; Bruce F Rogers, BAINBRIDGE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MIMS ROGERS &amp; SMITH LLP, Birmingham, AL; Carl S Burkhalter, Grace Robinson Murphy, Sarah S Glover, Scott S Brown, MAYNARD COOPER &amp; GALE PC, Birmingham, AL; Cavender C Kimble, BALCH &amp; BINGHAM LLP, Birmingham, AL; Charles A. O'Brien, III, Baton Rouge, LA; Charles L Sweeris, BLUE SHIELD OF CALIFORNIA, San Francisco, CA; Cheri D Green, Christopher A Shapley, James A McCullough, II, M Patrick McDowell, Norman E Bailey, Jr, R David Kaufman, BRUNINI GRANTHAM GROWER &amp; HEWES PLLC, Jackson, MS; Christine Varney, Evan Chesler, Margot Miller, CRAVATH SWAINE &amp; MOORE, New York, NY; Christopher G Scanlon, Paul A. Wolfla, FAEGRE BAKER DANIELS LLP - Indianapolis, Indianapolis, IN; Courtney B Green, David A Coulson, GREENBERG TRAURIG PA, Miami, FL; Craig A Hoover, E Desmond Hogan, J Robert Robertson, Zachary W Best, HOGAN LOVELLS US LLP, Washington, DC; D Bruce Hoffman, HUNTON &amp; WILLIAMS LLP, Washington, DC; D Kent Meyers, Elizabeth Barnett LaBauve, Crowe &amp; Dunlevy-OKC, Oklahoma City, OK; Daniel R Taylor, Jr., KILPATRICK TOWNSEND &amp; STOCKTON LLP, Winston Salem, NC; David Newmann, HOGAN LOVELLS US LLP, Philadelphia, PA; David J Zott, PRO HAC VICE, Kirkland &amp; Ellis LLP, Chicago, IL; Devin Clarke Dolive,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Gary M London, BURR &amp; FORMAN LLP, Birmingham, AL; Douglass C.E. Farnsley, STITES &amp; HARBISON PLLC, Louisville, KY; Edward S Bloomberg, PHILLIPS LYTLE LLP, One Canalside, Buffalo, NY; Elizabeth A Jose, Robert F Leibenluft, PRO HAC VICE, Hogan Lovells US LLP, Washington, DC; Emily M Yinger, N Thomas Connally, III, HOGAN LOVELLS US LLP, McLean, VA; Erin M Wilson, LANE POWELL PC, Seattle, WA; Gary C Shockley, Baker, Donelson, Bearman &amp; Caldwell - Nashville, Nashville, TN; Gregory Haynes, Wyatt, Tarrant &amp; Combs LLP - Louisville, Louisville, KY; Gwendolyn C Payton, Kilpatrick Townsend &amp; Stockton LLP, Seattle, WA; Henry James Koch, ARMBRECHT JACKSON LLP, Mobile, AL; Honor R Costello, CROWELL &amp; MORING LLP, New York, NY; Ian R Conner, KIRKLAND &amp; ELLIS LLP, Washington, DC; J Bentley Owens, III, ELLIS HEAD OWENS &amp; JUSTICE, Columbiana, AL; JEREMY D. FEINSTEIN, REED SMITH LLP, REED SMITH CENTRE, PITTSBURGH, PA; Jacob Joel Franz, MAYNARD, COOPER &amp; GALE, PC, Birmingham, Al; James L Priester, John T A Malatesta, III, MAYNARD COOPER GALE PC, Birmingham, AL; James M Terrell, MCCALLUM METHVIN &amp; TERRELL PC, Birmingham, AL; James Thomas Williams, Jr., Jennifer K Van Zant, Brooks, Pierce, McLendon, Humphrey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&amp; Leonard, LLP, Greensboro, NC; Jarod M Taylor, AXINN VELTROP &amp; HARKRIDER LLP, Hartford, CT; Jason Gourley, Sarah Lynn Cylkowski, Thomas J Rheaume, Jr., BODMAN PLC, Detroit, MI; Jeffrey J Zeiger, KIRKLAN &amp; ELLIS LLP, Chicago, IL; Jeny M Maier, Kenina Lee, AXINN VELTROP &amp; HARKRIDER LLP, Washington, DC; Jess Randall Nix, Joshua K Payne, Mary Godwin Menge, Michael Sansbury, Robert K Spotswood, SPOTSWOOD SANSOM &amp; SANSBURY LLC, Birmingham, AL; John D Briggs, Rachel J Adcox, AXINN VELTROP HARKRIDER LLP, Washington, DC; John Stone Campbell, III, L. Adam Thames, Taylor, Porter, Brooks &amp; Phillips, Baton Rouge, LA; John Martin, NELSON MULLINS RILEY &amp; SCARBOROUGH LLP, Columbia, SC; John Gary Maynard, HUNTON &amp; WILLIAMS LLP, Richmond, VA; John W Reis, COZEN O'CONNOR, Charlotte, NC; John G Schmidt, Jr, PHILLIPS LYTLE LLP, Buffalo, NY; Jonathan M Redgrave, REDGRAVE LLP, Chantilly, VA; Kail J Jethmalani, AXINN, VELTROP &amp; HARKRIDER LLP, New York, NY; Karin DeMasi, Lauren R Kennedy, Rowan D Wilson, CRAVATH SWAINE &amp; MOORE LLP, New York, NY; Kathleen Taylor Sooy, Tracy A Roman, CROWELL AND MORING LLP, Washington, DC; Kimberly R West, Mark Montgomery Hogewood, WALLACE JORDAN RATLIFF &amp; BRANDT, LLC, Birmingham,</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AL; Kristen Jordana Gillis, Tyrone Carlton Means, MEANS GILLIS LAW LLC, Montgomery, AL; Lucile Cohen, NELSON MULLINS RILEY&amp; SCARBOROUGH LLP, Columbia, SC; Mark Edward McKane, Kirkland and Ellis, San Francisco, CA; Mary C St John, BLUE SHILED OF CALIFORNIA, San Francisco, CA; Matthew G White, R Mark Glover, BAKER DONELSON BEARMAN CALDWELL &amp; BERKOWITZ- Memphis, Memphis, TN; Michael A Naranjo, FOLEY &amp; LARDNER LLP, San Francisco, CA; Morgan Brooke Franz, SPOTSWOOD SANSOM &amp; SANSBURY, Birmingham, AL; Pamela B Slate, HILL HILL CARTER FRANCO COLE &amp; BLACK PC, Montgomery, AL; Peter W Zuger, PRO HAC VICE, SERKLAND LAW FIRM, FARGO, ND; Robert R Riley, Jr, RILEY &amp; JACKSON PC, Birmingham, AL; SHANNON ELISE MCCLURE, REED SMITH LLP, PHILADELPHIA, PA; STEPHEN A. LONEY, JR., HOGAN &amp; HARTSON, PHILADELPHIA, PA; Samuel Andrew Diddle, EBERLE BERLIN KADING TURNBOW &amp; MCKLVEEN, Boise, ID; Scott F Singley, BRUNINI GRANTHAM GROWER &amp; HEWES PLLC, Columbus, MS; Todd M Stenerson, Shearman &amp; Sterling LLP, Washington, DC; Victoria Ann Redgrave, REDGRAVE LLP, Washington, DC; Yawanna Nabors McDonald, CAMPBELL GUIN WILLIAMS GUY AND GIDIERE LLCE,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Anthem, Inc., Defendant: Claudine Columbres, LEAD ATTORNEY,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WHITE &amp; CASE LLP, New York, NY; Glenn M Kurtz, LEAD ATTORNEY,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Excellus Health Plan, Inc. d/b/a Excellus BlueCrossBlueShield, Defendant: Stephen A Walsh, LEAD ATTORNEY, ADAMS &amp; REESE, LLP, Birmingham, AL; Anna M Clark, PHILLIPS LYTLE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Premera Blue Cross, Defendant: Gwendolyn C Payton, LEAD ATTORNEY, Kilpatrick Townsend &amp; Stockton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Blue Shield of Arizona, Defendant: Kathleen Taylor Sooy, LEAD ATTORNEY, CROWELL AND MORING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Health Care Service Corporation, Caring for Montanans, Inc. f/k/a Blue Cross and Blue Shield of Montana, Inc., Defendants: Jeffrey J Zeiger, KIRKLAN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and Blue Shield of Alabama, Defendant: Robert S W Given, LEAD ATTORNEY, BURR &amp; FORMAN LLP, Birmingham, AL; John T A Malatesta, III, MAYNARD COOPER GALE PC, Birmingham, AL.</w:t>
      </w:r>
    </w:p>
    <w:p>
      <w:pPr>
        <w:keepNext w:val="0"/>
        <w:widowControl w:val="0"/>
        <w:spacing w:before="240" w:after="0" w:line="260" w:lineRule="atLeast"/>
        <w:ind w:left="0" w:right="0" w:firstLine="0"/>
        <w:jc w:val="left"/>
      </w:pPr>
      <w:bookmarkStart w:id="17" w:name="Judges"/>
      <w:bookmarkEnd w:id="1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 MICHAEL PUTNAM, UNITED STATES MAGISTRATE JUDGE.</w:t>
      </w:r>
    </w:p>
    <w:p>
      <w:pPr>
        <w:keepNext w:val="0"/>
        <w:widowControl w:val="0"/>
        <w:spacing w:before="240" w:after="0" w:line="260" w:lineRule="atLeast"/>
        <w:ind w:left="0" w:right="0" w:firstLine="0"/>
        <w:jc w:val="left"/>
      </w:pPr>
      <w:bookmarkStart w:id="18" w:name="Opinion by"/>
      <w:bookmarkEnd w:id="1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 MICHAEL PUTNAM</w:t>
      </w:r>
    </w:p>
    <w:p>
      <w:pPr>
        <w:keepNext/>
        <w:widowControl w:val="0"/>
        <w:spacing w:before="240" w:after="0" w:line="340" w:lineRule="atLeast"/>
        <w:ind w:left="0" w:right="0" w:firstLine="0"/>
        <w:jc w:val="left"/>
      </w:pPr>
      <w:bookmarkStart w:id="19" w:name="Opinion"/>
      <w:bookmarkEnd w:id="1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DISCOVERY ORDER NO. 57</w:t>
      </w:r>
    </w:p>
    <w:p>
      <w:pPr>
        <w:keepNext w:val="0"/>
        <w:widowControl w:val="0"/>
        <w:spacing w:before="240" w:after="0" w:line="260" w:lineRule="atLeast"/>
        <w:ind w:left="0" w:right="0" w:firstLine="0"/>
        <w:jc w:val="both"/>
      </w:pPr>
      <w:bookmarkStart w:id="20" w:name="Bookmark_para_1"/>
      <w:bookmarkEnd w:id="20"/>
      <w:r>
        <w:rPr>
          <w:rFonts w:ascii="arial" w:eastAsia="arial" w:hAnsi="arial" w:cs="arial"/>
          <w:b w:val="0"/>
          <w:i w:val="0"/>
          <w:strike w:val="0"/>
          <w:noProof w:val="0"/>
          <w:color w:val="000000"/>
          <w:position w:val="0"/>
          <w:sz w:val="20"/>
          <w:u w:val="none"/>
          <w:vertAlign w:val="baseline"/>
        </w:rPr>
        <w:t xml:space="preserve">The Provider Plaintiffs have filed a motion to compel certain non-parties, BCS Financial Corporation and BCS Insurance Company (collectively "BCS"), to produce documents pursuant to the Plaintiffs'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subpoenas </w:t>
      </w:r>
      <w:r>
        <w:rPr>
          <w:rFonts w:ascii="arial" w:eastAsia="arial" w:hAnsi="arial" w:cs="arial"/>
          <w:b w:val="0"/>
          <w:i/>
          <w:strike w:val="0"/>
          <w:noProof w:val="0"/>
          <w:color w:val="000000"/>
          <w:position w:val="0"/>
          <w:sz w:val="20"/>
          <w:u w:val="none"/>
          <w:vertAlign w:val="baseline"/>
        </w:rPr>
        <w:t>duces tecum</w:t>
      </w:r>
      <w:r>
        <w:rPr>
          <w:rFonts w:ascii="arial" w:eastAsia="arial" w:hAnsi="arial" w:cs="arial"/>
          <w:b w:val="0"/>
          <w:i w:val="0"/>
          <w:strike w:val="0"/>
          <w:noProof w:val="0"/>
          <w:color w:val="000000"/>
          <w:position w:val="0"/>
          <w:sz w:val="20"/>
          <w:u w:val="none"/>
          <w:vertAlign w:val="baseline"/>
        </w:rPr>
        <w:t>. (Doc. 1235).</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On June 23, 2017, Blue Cross Blue Shield of Michigan ("BCBS-MI") and Blue Cross Blue Shield of Alabama ("BCBS-AL") filed their motions to quash the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subpoenas to BCS (Docs. 1297 and 1298) to the extent the subpoenas seek privileged or work-product protected documents in which BCBS-MI and BCBS-AL have an interest. On that same day, BCS filed its opposition to the motion to compel production (Doc. 1300). The Provider Plaintiffs filed a response and opposition to the motions to quash on June 28, 2017 (Doc. 1309), and the court heard arguments on the motions on June 29, 2017.</w:t>
      </w:r>
    </w:p>
    <w:p>
      <w:pPr>
        <w:keepNext w:val="0"/>
        <w:widowControl w:val="0"/>
        <w:spacing w:before="200" w:after="0" w:line="260" w:lineRule="atLeast"/>
        <w:ind w:left="0" w:right="0" w:firstLine="0"/>
        <w:jc w:val="both"/>
      </w:pPr>
      <w:bookmarkStart w:id="21" w:name="Bookmark_para_2"/>
      <w:bookmarkEnd w:id="21"/>
      <w:r>
        <w:rPr>
          <w:rFonts w:ascii="arial" w:eastAsia="arial" w:hAnsi="arial" w:cs="arial"/>
          <w:b w:val="0"/>
          <w:i w:val="0"/>
          <w:strike w:val="0"/>
          <w:noProof w:val="0"/>
          <w:color w:val="000000"/>
          <w:position w:val="0"/>
          <w:sz w:val="20"/>
          <w:u w:val="none"/>
          <w:vertAlign w:val="baseline"/>
        </w:rPr>
        <w:t>The Provider Plaintiffs and BCS have engaged in a months-long meet-and-confer process that has resulted in some agreements. BCS acknowledges that it has agreed to produce documents related to twenty-three requests for production in the subpoenas, resulting in the actual production (so far) of over 2,300 pages of documents. (Doc. 1300, at p. 8). Nothing in this Order is intended or should be read to alter any agreement the Provider Plaintiffs and BCS have reached for production of documents. BCS and the Provider Plaintiffs should proceed with whatever agreements they have reached.</w:t>
      </w:r>
    </w:p>
    <w:p>
      <w:pPr>
        <w:keepNext w:val="0"/>
        <w:widowControl w:val="0"/>
        <w:spacing w:before="200" w:after="0" w:line="260" w:lineRule="atLeast"/>
        <w:ind w:left="0" w:right="0" w:firstLine="0"/>
        <w:jc w:val="both"/>
      </w:pPr>
      <w:bookmarkStart w:id="22" w:name="Bookmark_para_3"/>
      <w:bookmarkEnd w:id="22"/>
      <w:r>
        <w:rPr>
          <w:rFonts w:ascii="arial" w:eastAsia="arial" w:hAnsi="arial" w:cs="arial"/>
          <w:b w:val="0"/>
          <w:i w:val="0"/>
          <w:strike w:val="0"/>
          <w:noProof w:val="0"/>
          <w:color w:val="000000"/>
          <w:position w:val="0"/>
          <w:sz w:val="20"/>
          <w:u w:val="none"/>
          <w:vertAlign w:val="baseline"/>
        </w:rPr>
        <w:t>Beyond such agreements, BCS and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Provider Plaintiffs agree that six categories of document requests remain in dispute: (1) documents related to Professional Liability ("D&amp;O" and "E&amp;O") coverage provided to Blue Plans by BCS Insurance; (2) documents related to Excess of Loss coverage provided to Blue Plans by BCS Insurance; (3) documents related to Medical Stop Loss insurance provided by BCS Insurance to Blue Plan administrative-services customers; (4) documents related to Group Universal Life insurance provided to Blue Plan employees by 4EL, a subsidiary of BCS Financial; (5) documents related to re-insurance of BCS's Professional Liability coverage by Plans' Liability Insurance Company ("PLIC"); and (6) documents related to prior litigation "that touches on any of the allegations if Provider Plaintiffs' complaint." Provider Plaintiffs argue that documents related to these forms of insurance coverage are relevant to whether a conspiratorial agreement exists among the Blues. BCS contends that the documents are not relevant to such an issue, are burdensome to gather and produce, are largely covered by various privileges and work-product protection, and are disproportional to the needs of this case. BCBS-MI and BCBS-AL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also assert that many documents sought are covered by their attorney-client privilege and work-product protection under </w:t>
      </w:r>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4"/>
      <w:bookmarkEnd w:id="23"/>
      <w:r>
        <w:rPr>
          <w:rFonts w:ascii="arial" w:eastAsia="arial" w:hAnsi="arial" w:cs="arial"/>
          <w:b w:val="0"/>
          <w:i w:val="0"/>
          <w:strike w:val="0"/>
          <w:noProof w:val="0"/>
          <w:color w:val="000000"/>
          <w:position w:val="0"/>
          <w:sz w:val="20"/>
          <w:u w:val="none"/>
          <w:vertAlign w:val="baseline"/>
        </w:rPr>
        <w:t>As background, it is important to note that BCS is wholly owned by the Blue Plans and the Blue Cross Blue Shield Association ("BCBSA"). The parties debate whether BCS is a "captive" insurance company, although it is undisputed that, while owned by the Blues, BCS sells some forms of insurance to non-Blue entities. Certain types of insurance, however, are exclusively available to the Blues. For example, BCS sells its Medical Stop Loss insurance to self-funded medical plans regardless of whether a Blue Plan provides administrative services to the self-funding entity. On the other hand, Group Universal Life insurance is available only to employees of a Blue Plan, but not all Blue Plans participate in making the insurance available. Similarly, Professional Liability insurance (Directors and Officers coverage and Errors and Omissions coverage) is available only to Blue Plans, but not all Blue Plans participate.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Professional Liability Insurance Documents</w:t>
      </w:r>
    </w:p>
    <w:p>
      <w:pPr>
        <w:keepNext w:val="0"/>
        <w:widowControl w:val="0"/>
        <w:spacing w:before="200" w:after="0" w:line="260" w:lineRule="atLeast"/>
        <w:ind w:left="0" w:right="0" w:firstLine="0"/>
        <w:jc w:val="both"/>
      </w:pPr>
      <w:bookmarkStart w:id="24" w:name="Bookmark_para_5"/>
      <w:bookmarkEnd w:id="24"/>
      <w:r>
        <w:rPr>
          <w:rFonts w:ascii="arial" w:eastAsia="arial" w:hAnsi="arial" w:cs="arial"/>
          <w:b w:val="0"/>
          <w:i w:val="0"/>
          <w:strike w:val="0"/>
          <w:noProof w:val="0"/>
          <w:color w:val="000000"/>
          <w:position w:val="0"/>
          <w:sz w:val="20"/>
          <w:u w:val="none"/>
          <w:vertAlign w:val="baseline"/>
        </w:rPr>
        <w:t>Provider Plaintiffs contend primarily that documents showing the creation of professional liability insurance for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directors and officers of the Blue Plans and the sharing of risks among the Plans may be evidence of conscious recognition by the Blue Plans that they may be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the insurance is an attempt to protect themselves from the financial consequences of liability.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BCS, BCBS-MI, and BCBS-AL all point out that most of these documents related to liability insurance coverage are subject to the attorney-client privilege and work-product protection arising in this case. In light of this, the burden and expense of gathering and reviewing the documents and preparing a privilege log for them, BCS contends, is disproportional to the needs of this case. The court agrees.</w:t>
      </w:r>
    </w:p>
    <w:p>
      <w:pPr>
        <w:keepNext w:val="0"/>
        <w:widowControl w:val="0"/>
        <w:spacing w:before="200" w:after="0" w:line="260" w:lineRule="atLeast"/>
        <w:ind w:left="0" w:right="0" w:firstLine="0"/>
        <w:jc w:val="both"/>
      </w:pPr>
      <w:bookmarkStart w:id="26" w:name="Bookmark_para_6"/>
      <w:bookmarkEnd w:id="26"/>
      <w:r>
        <w:rPr>
          <w:rFonts w:ascii="arial" w:eastAsia="arial" w:hAnsi="arial" w:cs="arial"/>
          <w:b w:val="0"/>
          <w:i w:val="0"/>
          <w:strike w:val="0"/>
          <w:noProof w:val="0"/>
          <w:color w:val="000000"/>
          <w:position w:val="0"/>
          <w:sz w:val="20"/>
          <w:u w:val="none"/>
          <w:vertAlign w:val="baseline"/>
        </w:rPr>
        <w:t xml:space="preserve">First, it should be noted that of the thirty-six defendant Plans, BCS is providing D&amp;O or E&amp;O coverage only to seven. The fact that more than three-quarters of the Blue defendants do not rely on BCS liability insurance weakens the argument that the very existence of BCS is evidence of a conspiratorial agreement among the Blues. Why would the Blues create a "captive" insurance company to provide liability insurance against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and then most of them forgo the coverage? Plaintiffs'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contention that the very existence of the insurance is proof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is a stretch.</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28" w:name="Bookmark_para_7"/>
      <w:bookmarkEnd w:id="28"/>
      <w:r>
        <w:rPr>
          <w:rFonts w:ascii="arial" w:eastAsia="arial" w:hAnsi="arial" w:cs="arial"/>
          <w:b w:val="0"/>
          <w:i w:val="0"/>
          <w:strike w:val="0"/>
          <w:noProof w:val="0"/>
          <w:color w:val="000000"/>
          <w:position w:val="0"/>
          <w:sz w:val="20"/>
          <w:u w:val="none"/>
          <w:vertAlign w:val="baseline"/>
        </w:rPr>
        <w:t xml:space="preserve">Even assuming some relevance can be found, it is clear that for the seven Blues covered, most of the documents relating to the coverage implicate the attorney-client privilege and/or work-product protection. </w:t>
      </w:r>
      <w:bookmarkStart w:id="29" w:name="Bookmark_I6D25F546CB000D75S600001"/>
      <w:bookmarkEnd w:id="29"/>
      <w:bookmarkStart w:id="30" w:name="Bookmark_I5P5KM5M2SF8FT0020000400"/>
      <w:bookmarkEnd w:id="30"/>
      <w:r>
        <w:rPr>
          <w:rFonts w:ascii="arial" w:eastAsia="arial" w:hAnsi="arial" w:cs="arial"/>
          <w:b w:val="0"/>
          <w:i w:val="0"/>
          <w:strike w:val="0"/>
          <w:noProof w:val="0"/>
          <w:color w:val="000000"/>
          <w:position w:val="0"/>
          <w:sz w:val="20"/>
          <w:u w:val="none"/>
          <w:vertAlign w:val="baseline"/>
        </w:rPr>
        <w:t xml:space="preserve">As with any liability-carrier coverage, counsel representing the Blues share with the liability carrier information, opinions, assessments, and strategy related to the covered litigation. Such communications are necessarily "opinion work product," which enjoys almost absolute protection from disclosure. </w:t>
      </w:r>
      <w:r>
        <w:rPr>
          <w:rFonts w:ascii="arial" w:eastAsia="arial" w:hAnsi="arial" w:cs="arial"/>
          <w:b w:val="0"/>
          <w:i w:val="0"/>
          <w:strike w:val="0"/>
          <w:noProof w:val="0"/>
          <w:color w:val="000000"/>
          <w:position w:val="0"/>
          <w:sz w:val="20"/>
          <w:u w:val="single"/>
          <w:vertAlign w:val="baseline"/>
        </w:rPr>
        <w:t xml:space="preserve">See </w:t>
      </w:r>
      <w:bookmarkStart w:id="31" w:name="Bookmark_I5P5KM5M2SF8FT0010000400"/>
      <w:bookmarkEnd w:id="31"/>
      <w:hyperlink r:id="rId17" w:history="1">
        <w:r>
          <w:rPr>
            <w:rFonts w:ascii="arial" w:eastAsia="arial" w:hAnsi="arial" w:cs="arial"/>
            <w:b w:val="0"/>
            <w:i/>
            <w:strike w:val="0"/>
            <w:noProof w:val="0"/>
            <w:color w:val="0077CC"/>
            <w:position w:val="0"/>
            <w:sz w:val="20"/>
            <w:u w:val="single"/>
            <w:vertAlign w:val="baseline"/>
          </w:rPr>
          <w:t>Williamson v. Moore</w:t>
        </w:r>
      </w:hyperlink>
      <w:hyperlink r:id="rId17" w:history="1">
        <w:r>
          <w:rPr>
            <w:rFonts w:ascii="arial" w:eastAsia="arial" w:hAnsi="arial" w:cs="arial"/>
            <w:b w:val="0"/>
            <w:i/>
            <w:strike w:val="0"/>
            <w:noProof w:val="0"/>
            <w:color w:val="0077CC"/>
            <w:position w:val="0"/>
            <w:sz w:val="20"/>
            <w:u w:val="single"/>
            <w:vertAlign w:val="baseline"/>
          </w:rPr>
          <w:t>, 221 F.3d 1177, 1182-83 (11th Cir. 2000)</w:t>
        </w:r>
      </w:hyperlink>
      <w:r>
        <w:rPr>
          <w:rFonts w:ascii="arial" w:eastAsia="arial" w:hAnsi="arial" w:cs="arial"/>
          <w:b w:val="0"/>
          <w:i w:val="0"/>
          <w:strike w:val="0"/>
          <w:noProof w:val="0"/>
          <w:color w:val="000000"/>
          <w:position w:val="0"/>
          <w:sz w:val="20"/>
          <w:u w:val="none"/>
          <w:vertAlign w:val="baseline"/>
        </w:rPr>
        <w:t xml:space="preserve"> (</w:t>
      </w:r>
      <w:bookmarkStart w:id="32" w:name="Bookmark_LNHNREFclscc1"/>
      <w:bookmarkEnd w:id="32"/>
      <w:hyperlink r:id="rId18"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3"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"While opinion work product enjoys almost absolute immunity, extraordinary circumstances may exist that justify a departure from this protection.") (citing </w:t>
      </w:r>
      <w:bookmarkStart w:id="33" w:name="Bookmark_I5P5KM5M2SF8FT0030000400"/>
      <w:bookmarkEnd w:id="33"/>
      <w:hyperlink r:id="rId20" w:history="1">
        <w:r>
          <w:rPr>
            <w:rFonts w:ascii="arial" w:eastAsia="arial" w:hAnsi="arial" w:cs="arial"/>
            <w:b w:val="0"/>
            <w:i/>
            <w:strike w:val="0"/>
            <w:noProof w:val="0"/>
            <w:color w:val="0077CC"/>
            <w:position w:val="0"/>
            <w:sz w:val="20"/>
            <w:u w:val="single"/>
            <w:vertAlign w:val="baseline"/>
          </w:rPr>
          <w:t>Cox v. Administrator United States Steel &amp; Carnegie</w:t>
        </w:r>
      </w:hyperlink>
      <w:hyperlink r:id="rId20" w:history="1">
        <w:r>
          <w:rPr>
            <w:rFonts w:ascii="arial" w:eastAsia="arial" w:hAnsi="arial" w:cs="arial"/>
            <w:b w:val="0"/>
            <w:i/>
            <w:strike w:val="0"/>
            <w:noProof w:val="0"/>
            <w:color w:val="0077CC"/>
            <w:position w:val="0"/>
            <w:sz w:val="20"/>
            <w:u w:val="single"/>
            <w:vertAlign w:val="baseline"/>
          </w:rPr>
          <w:t>, 17 F.3d 1386, 1422 (11th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Such opinion work product documents, and attorney-client communications made as part of a joint defense, are almost certainly never subject to the discovery.</w:t>
      </w:r>
    </w:p>
    <w:p>
      <w:pPr>
        <w:keepNext w:val="0"/>
        <w:widowControl w:val="0"/>
        <w:spacing w:before="200" w:after="0" w:line="260" w:lineRule="atLeast"/>
        <w:ind w:left="0" w:right="0" w:firstLine="0"/>
        <w:jc w:val="both"/>
      </w:pPr>
      <w:bookmarkStart w:id="34" w:name="Bookmark_para_8"/>
      <w:bookmarkEnd w:id="34"/>
      <w:r>
        <w:rPr>
          <w:rFonts w:ascii="arial" w:eastAsia="arial" w:hAnsi="arial" w:cs="arial"/>
          <w:b w:val="0"/>
          <w:i w:val="0"/>
          <w:strike w:val="0"/>
          <w:noProof w:val="0"/>
          <w:color w:val="000000"/>
          <w:position w:val="0"/>
          <w:sz w:val="20"/>
          <w:u w:val="none"/>
          <w:vertAlign w:val="baseline"/>
        </w:rPr>
        <w:t xml:space="preserve">Finally, to the extent that other documents might exist that are not shielded by these privileges, searching for them among the greater volume of privileged documents is disproportionate to the needs of this case. </w:t>
      </w:r>
      <w:bookmarkStart w:id="35" w:name="Bookmark_LNHNREFclscc2"/>
      <w:bookmarkEnd w:id="35"/>
      <w:hyperlink r:id="rId21"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4"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defines the scope of discovery as involving "any nonprivileged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matter that is relevant to any party's claim or defense and </w:t>
      </w:r>
      <w:r>
        <w:rPr>
          <w:rFonts w:ascii="arial" w:eastAsia="arial" w:hAnsi="arial" w:cs="arial"/>
          <w:b w:val="0"/>
          <w:i/>
          <w:strike w:val="0"/>
          <w:noProof w:val="0"/>
          <w:color w:val="000000"/>
          <w:position w:val="0"/>
          <w:sz w:val="20"/>
          <w:u w:val="none"/>
          <w:vertAlign w:val="baseline"/>
        </w:rPr>
        <w:t>proportional to the needs of the case</w:t>
      </w:r>
      <w:r>
        <w:rPr>
          <w:rFonts w:ascii="arial" w:eastAsia="arial" w:hAnsi="arial" w:cs="arial"/>
          <w:b w:val="0"/>
          <w:i w:val="0"/>
          <w:strike w:val="0"/>
          <w:noProof w:val="0"/>
          <w:color w:val="000000"/>
          <w:position w:val="0"/>
          <w:sz w:val="20"/>
          <w:u w:val="none"/>
          <w:vertAlign w:val="baseline"/>
        </w:rPr>
        <w:t xml:space="preserve">..." (italics added). Whether a particular discovery request is "proportional to the needs" of the case is weighed against several non-exhaustive factors: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Here, given the likelihood that most of the responsive documents relating to Professional Liability insurance coverage will be subject to some privilege or work-product protection, the burden and expense of searching for the remaining non-privileged responsive documents outweighs the potential benefit. Also, whether some Blues have liability insurance proved by a Blue-owned company is relatively unimportant to the issues in this case. The fact that the Blues may have created BCS to provide liability insurance coverage says little about whether that was motivated by fear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as opposed to many other forms of liability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might be covered by D&amp;O and E&amp;O insurance. The tangential value of this discovery is outweighed by the burden and expense required of BCS, a non-party, to gather review and produce documents not covered by a privilege.</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37" w:name="Bookmark_para_9"/>
      <w:bookmarkEnd w:id="37"/>
      <w:r>
        <w:rPr>
          <w:rFonts w:ascii="arial" w:eastAsia="arial" w:hAnsi="arial" w:cs="arial"/>
          <w:b w:val="0"/>
          <w:i w:val="0"/>
          <w:strike w:val="0"/>
          <w:noProof w:val="0"/>
          <w:color w:val="000000"/>
          <w:position w:val="0"/>
          <w:sz w:val="20"/>
          <w:u w:val="none"/>
          <w:vertAlign w:val="baseline"/>
        </w:rPr>
        <w:t>The same reasoning applies to the Provider Plaintiffs' request for documents related to PLIC's re-insurance of BCS's Professional Liability coverage, the sixth category of documents at issue in this case. As the re-insurer of potential liability, PLIC also would receive reports and assessments of the case that are almost certainly privileged or work-product protected. The Provider Plaintiffs are entitled only to information identifying which Blue Defendants have Professional Liability coverage by BSC for which PLIC provides re-insurance, and at what level of coverage.</w:t>
      </w:r>
    </w:p>
    <w:p>
      <w:pPr>
        <w:keepNext w:val="0"/>
        <w:widowControl w:val="0"/>
        <w:spacing w:before="200" w:after="0" w:line="260" w:lineRule="atLeast"/>
        <w:ind w:left="0" w:right="0" w:firstLine="0"/>
        <w:jc w:val="both"/>
      </w:pPr>
      <w:bookmarkStart w:id="38" w:name="Bookmark_para_10"/>
      <w:bookmarkEnd w:id="38"/>
      <w:r>
        <w:rPr>
          <w:rFonts w:ascii="arial" w:eastAsia="arial" w:hAnsi="arial" w:cs="arial"/>
          <w:b w:val="0"/>
          <w:i w:val="0"/>
          <w:strike w:val="0"/>
          <w:noProof w:val="0"/>
          <w:color w:val="000000"/>
          <w:position w:val="0"/>
          <w:sz w:val="20"/>
          <w:u w:val="none"/>
          <w:vertAlign w:val="baseline"/>
        </w:rPr>
        <w:t>The motion to compel is GRANTED, therefore, to the limited extent that BCS shall, within thirty (30) days, produce such documents as may be necessary to identify which Blue Plans have Professional Liability coverage with it. BCS is ORDERED to produce an exemplar policy or contract showing its current Professional Liability coverage for each Blue Plan having such coverage, including the policy limits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such coverage. Further, BCS is ORDERED to produce such documents only as are necessary to show which of the Blues' current D&amp;O and E&amp;O coverages in this case are re-insured by PLIC and the limits of the coverage (e.g., the level of loss at which the re-insurance is triggered and the maximum limit of coverage). Otherwise, the Provider Plaintiffs' motion to compel the production of documents related to Professional Liability insurance coverage is DENIED. To the extent that BCBS-MI and BCBS-AL seek to quash production of privileged or work-product protected documents related to Professional Liability insurance, the motions are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Plan Excess of Loss Documents</w:t>
      </w:r>
    </w:p>
    <w:p>
      <w:pPr>
        <w:keepNext w:val="0"/>
        <w:widowControl w:val="0"/>
        <w:spacing w:before="200" w:after="0" w:line="260" w:lineRule="atLeast"/>
        <w:ind w:left="0" w:right="0" w:firstLine="0"/>
        <w:jc w:val="both"/>
      </w:pPr>
      <w:bookmarkStart w:id="39" w:name="Bookmark_para_11"/>
      <w:bookmarkEnd w:id="39"/>
      <w:r>
        <w:rPr>
          <w:rFonts w:ascii="arial" w:eastAsia="arial" w:hAnsi="arial" w:cs="arial"/>
          <w:b w:val="0"/>
          <w:i w:val="0"/>
          <w:strike w:val="0"/>
          <w:noProof w:val="0"/>
          <w:color w:val="000000"/>
          <w:position w:val="0"/>
          <w:sz w:val="20"/>
          <w:u w:val="none"/>
          <w:vertAlign w:val="baseline"/>
        </w:rPr>
        <w:t xml:space="preserve">A second category of documents sought by the Provider Plaintiffs relates to BCS's Plan Excess of Loss coverage. This is a medical stop-loss insurance offered only to Blue Plans. Although the Plan Excess of Loss coverage is offered only to Blue Plans, no Blue Plan is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to carry the coverage, and of the defendants in this action, only five have done so.</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coverage is claim specific, meaning that to covers excess expenses a Blue may incur while providing medical-insurance coverage for a specific claim. As BCS describes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it, "when the insured [a Blue Plan] hits a certain level of loss (for each specific claim), the Plan Excess of Loss product will reinsure the risk above that loss." (Doc. 1300, at p. 6). Provider Plaintiffs contend that this document discovery is relevant to whether the size of the Blues' reserves against medical loss are correctly calculated (or, alternatively, inflated) as there is insurance available to cover excess loss.</w:t>
      </w:r>
    </w:p>
    <w:p>
      <w:pPr>
        <w:keepNext w:val="0"/>
        <w:widowControl w:val="0"/>
        <w:spacing w:before="200" w:after="0" w:line="260" w:lineRule="atLeast"/>
        <w:ind w:left="0" w:right="0" w:firstLine="0"/>
        <w:jc w:val="both"/>
      </w:pPr>
      <w:bookmarkStart w:id="41" w:name="Bookmark_para_12"/>
      <w:bookmarkEnd w:id="41"/>
      <w:r>
        <w:rPr>
          <w:rFonts w:ascii="arial" w:eastAsia="arial" w:hAnsi="arial" w:cs="arial"/>
          <w:b w:val="0"/>
          <w:i w:val="0"/>
          <w:strike w:val="0"/>
          <w:noProof w:val="0"/>
          <w:color w:val="000000"/>
          <w:position w:val="0"/>
          <w:sz w:val="20"/>
          <w:u w:val="none"/>
          <w:vertAlign w:val="baseline"/>
        </w:rPr>
        <w:t xml:space="preserve">As the court has discussed before, </w:t>
      </w:r>
      <w:bookmarkStart w:id="42" w:name="Bookmark_LNHNREFclscc3"/>
      <w:bookmarkEnd w:id="42"/>
      <w:hyperlink r:id="rId22"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5" type="#_x0000_t75" style="width:10.5pt;height:10.5pt">
              <v:imagedata r:id="rId19" o:title=""/>
            </v:shape>
          </w:pic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requires the court and parties to take steps to avoid unnecessary burdens on non-parties. For this reason, discovery sought by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from a non-party must be necessary, narrowly focused, and easily responded to without unnecessary burden or expense. Additionally, as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is a type of discovery device, discovery requests under it must also comply with the proportionality requirement of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The court agrees with BCS that this discovery can best be obtained most efficiently from the five defendants who carry the coverage. Because only five Blue Plans have this coverage (at least as provided by BCS; perhaps others have similar coverage from other carriers), it is not necessary to seek discovery of all documents related to Plan Excess of Loss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coverage when the relevant information can be obtained from the five defendant Plans that use it. Plaintiffs' theory of the discovery need—that having this insurance obviates the need for large medical reserves—requires only information that can be obtained from the parties using the insurance. Those Plans with the Excess of Loss coverage should be able to identify the extent of the coverage they have, how often claims have been made for the insurance and in what amounts, and if or how this coverage impacts the calculation of their reserves. It is, therefore, ORDERED that BCS produce within thirty (30) days such documents only as necessary to identify the five defendant Blues currently with this coverage. The motion to compel is otherwise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Medical Stop Loss Insurance Documents</w:t>
      </w:r>
    </w:p>
    <w:p>
      <w:pPr>
        <w:keepNext w:val="0"/>
        <w:widowControl w:val="0"/>
        <w:spacing w:before="200" w:after="0" w:line="260" w:lineRule="atLeast"/>
        <w:ind w:left="0" w:right="0" w:firstLine="0"/>
        <w:jc w:val="both"/>
      </w:pPr>
      <w:bookmarkStart w:id="43" w:name="Bookmark_para_13"/>
      <w:bookmarkEnd w:id="43"/>
      <w:r>
        <w:rPr>
          <w:rFonts w:ascii="arial" w:eastAsia="arial" w:hAnsi="arial" w:cs="arial"/>
          <w:b w:val="0"/>
          <w:i w:val="0"/>
          <w:strike w:val="0"/>
          <w:noProof w:val="0"/>
          <w:color w:val="000000"/>
          <w:position w:val="0"/>
          <w:sz w:val="20"/>
          <w:u w:val="none"/>
          <w:vertAlign w:val="baseline"/>
        </w:rPr>
        <w:t>Many employers "self-fund" the costs of medical care coverage for their employees while hiring a third-party administrator to handle the claims processing. BCS offers Medical Stop Loss insurance to such self-funders whether or not the entity engages a Blue Plan to perform the administrative services. That insurance is not marketed under any license from a Blue entity, and it is not marketed under a Blue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brand. The insurance is independently licensed by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each State.</w:t>
      </w:r>
    </w:p>
    <w:p>
      <w:pPr>
        <w:keepNext w:val="0"/>
        <w:widowControl w:val="0"/>
        <w:spacing w:before="200" w:after="0" w:line="260" w:lineRule="atLeast"/>
        <w:ind w:left="0" w:right="0" w:firstLine="0"/>
        <w:jc w:val="both"/>
      </w:pPr>
      <w:bookmarkStart w:id="44" w:name="Bookmark_para_14"/>
      <w:bookmarkEnd w:id="44"/>
      <w:r>
        <w:rPr>
          <w:rFonts w:ascii="arial" w:eastAsia="arial" w:hAnsi="arial" w:cs="arial"/>
          <w:b w:val="0"/>
          <w:i w:val="0"/>
          <w:strike w:val="0"/>
          <w:noProof w:val="0"/>
          <w:color w:val="000000"/>
          <w:position w:val="0"/>
          <w:sz w:val="20"/>
          <w:u w:val="none"/>
          <w:vertAlign w:val="baseline"/>
        </w:rPr>
        <w:t>Because this is insurance offered to non-party, non-Blue entities, it is not at all clear how it is relevant to any claim or defense in this action. Provider Plaintiffs argue that, because BCS sells this insurance in many if not all States, it calls into question whether the Blue business model of exclusive service areas is really necessary. But this ignores the fact (not really disputed by the Provider Plaintiffs) that Medical Stop Loss insurance is not sold under any license from a Blue entity or marketed under a Blue brand. More so, the comparison of the market for this type of insurance to the market for health insurance is apples and oranges. The manner in which BCS sells Medical Stop Loss insurance says little about how medical insurance can be sold. The motion to compel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Group Universal Life Insurance Documents</w:t>
      </w:r>
    </w:p>
    <w:p>
      <w:pPr>
        <w:keepNext w:val="0"/>
        <w:widowControl w:val="0"/>
        <w:spacing w:before="200" w:after="0" w:line="260" w:lineRule="atLeast"/>
        <w:ind w:left="0" w:right="0" w:firstLine="0"/>
        <w:jc w:val="both"/>
      </w:pPr>
      <w:bookmarkStart w:id="45" w:name="Bookmark_para_15"/>
      <w:bookmarkEnd w:id="45"/>
      <w:r>
        <w:rPr>
          <w:rFonts w:ascii="arial" w:eastAsia="arial" w:hAnsi="arial" w:cs="arial"/>
          <w:b w:val="0"/>
          <w:i w:val="0"/>
          <w:strike w:val="0"/>
          <w:noProof w:val="0"/>
          <w:color w:val="000000"/>
          <w:position w:val="0"/>
          <w:sz w:val="20"/>
          <w:u w:val="none"/>
          <w:vertAlign w:val="baseline"/>
        </w:rPr>
        <w:t>The Provider Plaintiffs also seek production of documents related to Group Universal Life insurance sold to Blue Cross employees by 4EL, a subsidiary of BCS. They assert that they suspect that this insurance is form of compensation for Blue executives, despite BCS's assertion that it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is made available to all Blue employees and paid for by the employees themselves.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Of course, the primary source for information about whether a benefit is offered to Blue executives as part of their compensation is the Blues themselves. Nonetheless, obtaining actual copies of group policies may be difficult. Therefore, the motion to compel is GRANTED only to the limited extent that BCS (or its subsidiary 4EL) shall produce within thirty (30) days a copy of any and all policies or contracts under which the </w:t>
      </w:r>
      <w:r>
        <w:rPr>
          <w:rFonts w:ascii="arial" w:eastAsia="arial" w:hAnsi="arial" w:cs="arial"/>
          <w:b w:val="0"/>
          <w:i/>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CEOs of the respective Blue entities have Group Universal Life insurance issued by BCS or its subsidiaries currently in force. The motion is otherwise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Prior Litigation Documents</w:t>
      </w:r>
    </w:p>
    <w:p>
      <w:pPr>
        <w:keepNext w:val="0"/>
        <w:widowControl w:val="0"/>
        <w:spacing w:before="200" w:after="0" w:line="260" w:lineRule="atLeast"/>
        <w:ind w:left="0" w:right="0" w:firstLine="0"/>
        <w:jc w:val="both"/>
      </w:pPr>
      <w:bookmarkStart w:id="47" w:name="Bookmark_para_16"/>
      <w:bookmarkEnd w:id="47"/>
      <w:r>
        <w:rPr>
          <w:rFonts w:ascii="arial" w:eastAsia="arial" w:hAnsi="arial" w:cs="arial"/>
          <w:b w:val="0"/>
          <w:i w:val="0"/>
          <w:strike w:val="0"/>
          <w:noProof w:val="0"/>
          <w:color w:val="000000"/>
          <w:position w:val="0"/>
          <w:sz w:val="20"/>
          <w:u w:val="none"/>
          <w:vertAlign w:val="baseline"/>
        </w:rPr>
        <w:t>Finally, the Provider Plaintiffs also seek a somewhat vague collection of documents "related to communications between BCS and Defendants and internal BCS discussions regarding the impact of the releases from prior litigation for the purpose of assessing Defendants' defenses." (Doc. 1235, p. 11). To the extent that any of the current named Provider Plaintiffs or potential members of a Providers class executed releases in prior litigation with BCS, those plaintiffs certainly already have copies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them. What Provider Plaintiffs are seeking are the "communications" between BCS and the Blue Defendants and, further, BCS's own internal assessment of the impact such releases may have in the instant case. Such discussions and assessments, however, seem to the court to be exactly the type of opinion work product protected by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in that such materials would reflect the legal opinions and strategies of the Blue Defendants. While these assessments of the Blues, expressed in communications among themselves and with BCS Insurance, concerning the tactical or strategic value of prior-litigation releases might be informative, they are also their protected work product. On the other hand, if such materials are only the internal assessments of BCS itself, a non-party in the instant case, they are irrelevant. What difference does BCS's opinion about the usefulness of releases from prior litigation make in this case? The internal opinions of BCS about the tactical or strategic value of releases to the Blue Defendants in this case are not significantly more meaningful than the opinions of Stephen Colbert or Donald Trump on the subject. Thus, because documents related to releases executed in prior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litigation are likely either work-product protected or irrelevant, the motion to compel is DENIED as to this category of documents.</w:t>
      </w:r>
    </w:p>
    <w:p>
      <w:pPr>
        <w:keepNext w:val="0"/>
        <w:widowControl w:val="0"/>
        <w:spacing w:before="200" w:after="0" w:line="260" w:lineRule="atLeast"/>
        <w:ind w:left="0" w:right="0" w:firstLine="0"/>
        <w:jc w:val="both"/>
      </w:pPr>
      <w:bookmarkStart w:id="48" w:name="Bookmark_para_17"/>
      <w:bookmarkEnd w:id="48"/>
      <w:r>
        <w:rPr>
          <w:rFonts w:ascii="arial" w:eastAsia="arial" w:hAnsi="arial" w:cs="arial"/>
          <w:b w:val="0"/>
          <w:i w:val="0"/>
          <w:strike w:val="0"/>
          <w:noProof w:val="0"/>
          <w:color w:val="000000"/>
          <w:position w:val="0"/>
          <w:sz w:val="20"/>
          <w:u w:val="none"/>
          <w:vertAlign w:val="baseline"/>
        </w:rPr>
        <w:t>DONE this 6th day of July, 2017.</w:t>
      </w:r>
    </w:p>
    <w:p>
      <w:pPr>
        <w:keepNext w:val="0"/>
        <w:widowControl w:val="0"/>
        <w:spacing w:before="200" w:after="0" w:line="260" w:lineRule="atLeast"/>
        <w:ind w:left="0" w:right="0" w:firstLine="0"/>
        <w:jc w:val="both"/>
      </w:pPr>
      <w:bookmarkStart w:id="49" w:name="Bookmark_para_18"/>
      <w:bookmarkEnd w:id="49"/>
      <w:r>
        <w:rPr>
          <w:rFonts w:ascii="arial" w:eastAsia="arial" w:hAnsi="arial" w:cs="arial"/>
          <w:b w:val="0"/>
          <w:i w:val="0"/>
          <w:strike w:val="0"/>
          <w:noProof w:val="0"/>
          <w:color w:val="000000"/>
          <w:position w:val="0"/>
          <w:sz w:val="20"/>
          <w:u w:val="none"/>
          <w:vertAlign w:val="baseline"/>
        </w:rPr>
        <w:t>/s/ T. Michael Putnam</w:t>
      </w:r>
    </w:p>
    <w:p>
      <w:pPr>
        <w:keepNext w:val="0"/>
        <w:widowControl w:val="0"/>
        <w:spacing w:before="200" w:after="0" w:line="260" w:lineRule="atLeast"/>
        <w:ind w:left="0" w:right="0" w:firstLine="0"/>
        <w:jc w:val="both"/>
      </w:pPr>
      <w:bookmarkStart w:id="50" w:name="Bookmark_para_19"/>
      <w:bookmarkEnd w:id="50"/>
      <w:r>
        <w:rPr>
          <w:rFonts w:ascii="arial" w:eastAsia="arial" w:hAnsi="arial" w:cs="arial"/>
          <w:b w:val="0"/>
          <w:i w:val="0"/>
          <w:strike w:val="0"/>
          <w:noProof w:val="0"/>
          <w:color w:val="000000"/>
          <w:position w:val="0"/>
          <w:sz w:val="20"/>
          <w:u w:val="none"/>
          <w:vertAlign w:val="baseline"/>
        </w:rPr>
        <w:t>T. MICHAEL PUTNAM</w:t>
      </w:r>
    </w:p>
    <w:p>
      <w:pPr>
        <w:keepNext w:val="0"/>
        <w:widowControl w:val="0"/>
        <w:spacing w:before="200" w:after="0" w:line="260" w:lineRule="atLeast"/>
        <w:ind w:left="0" w:right="0" w:firstLine="0"/>
        <w:jc w:val="both"/>
      </w:pPr>
      <w:bookmarkStart w:id="51" w:name="Bookmark_para_20"/>
      <w:bookmarkEnd w:id="51"/>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3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5" w:name="Bookmark_fnpara_1"/>
      <w:bookmarkEnd w:id="25"/>
      <w:r>
        <w:rPr>
          <w:rFonts w:ascii="arial" w:eastAsia="arial" w:hAnsi="arial" w:cs="arial"/>
          <w:b w:val="0"/>
          <w:i w:val="0"/>
          <w:strike w:val="0"/>
          <w:noProof w:val="0"/>
          <w:color w:val="000000"/>
          <w:position w:val="0"/>
          <w:sz w:val="18"/>
          <w:u w:val="none"/>
          <w:vertAlign w:val="baseline"/>
        </w:rPr>
        <w:t xml:space="preserve">At page seven of their motion, the Provider Plaintiffs assert, "Given that Provider Plaintiffs' central claims are that Defendants have conspired to allocate markets and fix prices, documents related to any attempt by Defendants to form a captive insurance company to protect themselves against potential liability stemming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implicate conspiracy questions and whether Defendants were aware of potential wrongdoing and liability." (Doc. 1235, at 7). Insofar as they argue that this information is needed to determine whether the Blues can cover any judgment against them, the Provider Plaintiffs can obtain discovery concerning the nature and extent of liability insurance available to cover a judgment from the defendants themselves. Indeed, </w:t>
      </w:r>
      <w:r>
        <w:rPr>
          <w:rFonts w:ascii="arial" w:eastAsia="arial" w:hAnsi="arial" w:cs="arial"/>
          <w:b/>
          <w:i/>
          <w:strike w:val="0"/>
          <w:noProof w:val="0"/>
          <w:color w:val="000000"/>
          <w:position w:val="0"/>
          <w:sz w:val="18"/>
          <w:u w:val="none"/>
          <w:vertAlign w:val="baseline"/>
        </w:rPr>
        <w:t>Fed. R. Civ. P. 26(a)(1)</w:t>
      </w:r>
      <w:r>
        <w:rPr>
          <w:rFonts w:ascii="arial" w:eastAsia="arial" w:hAnsi="arial" w:cs="arial"/>
          <w:b w:val="0"/>
          <w:i w:val="0"/>
          <w:strike w:val="0"/>
          <w:noProof w:val="0"/>
          <w:color w:val="000000"/>
          <w:position w:val="0"/>
          <w:sz w:val="18"/>
          <w:u w:val="none"/>
          <w:vertAlign w:val="baseline"/>
        </w:rPr>
        <w:t xml:space="preserve"> requires disclosure of such liability-insurance coverage. There is no need to seek the information from a non-party.</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 w:name="Bookmark_fnpara_2"/>
      <w:bookmarkEnd w:id="27"/>
      <w:r>
        <w:rPr>
          <w:rFonts w:ascii="arial" w:eastAsia="arial" w:hAnsi="arial" w:cs="arial"/>
          <w:b w:val="0"/>
          <w:i w:val="0"/>
          <w:strike w:val="0"/>
          <w:noProof w:val="0"/>
          <w:color w:val="000000"/>
          <w:position w:val="0"/>
          <w:sz w:val="18"/>
          <w:u w:val="none"/>
          <w:vertAlign w:val="baseline"/>
        </w:rPr>
        <w:t>BCS has represented to the court that it has produced documents of a historical nature, reflecting the history of the creation and operation of the subpoena targets.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6" w:name="Bookmark_fnpara_3"/>
      <w:bookmarkEnd w:id="36"/>
      <w:r>
        <w:rPr>
          <w:rFonts w:ascii="arial" w:eastAsia="arial" w:hAnsi="arial" w:cs="arial"/>
          <w:b w:val="0"/>
          <w:i w:val="0"/>
          <w:strike w:val="0"/>
          <w:noProof w:val="0"/>
          <w:color w:val="000000"/>
          <w:position w:val="0"/>
          <w:sz w:val="18"/>
          <w:u w:val="none"/>
          <w:vertAlign w:val="baseline"/>
        </w:rPr>
        <w:t>Requiring BSC to produce only non-privileged documents does not reduce the burden and expense. In order to identify responsive non-privileged documents, BCS would still be required to gather, review, and separate non-privileged from privileged documents. This still requires a review of almost every document, even though only a relative few would be produced.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0" w:name="Bookmark_fnpara_4"/>
      <w:bookmarkEnd w:id="40"/>
      <w:r>
        <w:rPr>
          <w:rFonts w:ascii="arial" w:eastAsia="arial" w:hAnsi="arial" w:cs="arial"/>
          <w:b w:val="0"/>
          <w:i w:val="0"/>
          <w:strike w:val="0"/>
          <w:noProof w:val="0"/>
          <w:color w:val="000000"/>
          <w:position w:val="0"/>
          <w:sz w:val="18"/>
          <w:u w:val="none"/>
          <w:vertAlign w:val="baseline"/>
        </w:rPr>
        <w:t>The defendant in the streamlined case, BCBS-AL, is not a Plan that carries this coverage.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6" w:name="Bookmark_fnpara_5"/>
      <w:bookmarkEnd w:id="46"/>
      <w:r>
        <w:rPr>
          <w:rFonts w:ascii="arial" w:eastAsia="arial" w:hAnsi="arial" w:cs="arial"/>
          <w:b w:val="0"/>
          <w:i w:val="0"/>
          <w:strike w:val="0"/>
          <w:noProof w:val="0"/>
          <w:color w:val="000000"/>
          <w:position w:val="0"/>
          <w:sz w:val="18"/>
          <w:u w:val="none"/>
          <w:vertAlign w:val="baseline"/>
        </w:rPr>
        <w:t>It appears to be undisputed that the defendant in the streamlined case, BCBS-AL, does not offer this insurance to any of its employees.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Blue Cross Blue Shield Antitrust Litig. (Mdl No. 2406)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0F-VCG1-F04C-P2TP-00000-00&amp;context=" TargetMode="External" /><Relationship Id="rId11" Type="http://schemas.openxmlformats.org/officeDocument/2006/relationships/hyperlink" Target="https://advance.lexis.com/api/document?collection=cases&amp;id=urn:contentItem:5CFY-P721-F04C-P032-00000-00&amp;context=" TargetMode="External" /><Relationship Id="rId12" Type="http://schemas.openxmlformats.org/officeDocument/2006/relationships/hyperlink" Target="https://advance.lexis.com/api/document?collection=cases&amp;id=urn:contentItem:5P0F-VCG1-F04C-P2TP-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P0F-VCG1-F04C-P2TP-00000-00&amp;context=&amp;link=LNHNREFclscc2" TargetMode="External" /><Relationship Id="rId15" Type="http://schemas.openxmlformats.org/officeDocument/2006/relationships/hyperlink" Target="https://advance.lexis.com/api/document?collection=cases&amp;id=urn:contentItem:5P0F-VCG1-F04C-P2TP-00000-00&amp;context=&amp;link=LNHNREFclscc3" TargetMode="External" /><Relationship Id="rId16" Type="http://schemas.openxmlformats.org/officeDocument/2006/relationships/hyperlink" Target="https://advance.lexis.com/api/document?collection=statutes-legislation&amp;id=urn:contentItem:5GYC-22N1-6N19-F02J-00000-00&amp;context=" TargetMode="External" /><Relationship Id="rId17" Type="http://schemas.openxmlformats.org/officeDocument/2006/relationships/hyperlink" Target="https://advance.lexis.com/api/document?collection=cases&amp;id=urn:contentItem:4118-4D00-0038-X3HJ-00000-00&amp;context=" TargetMode="External" /><Relationship Id="rId18" Type="http://schemas.openxmlformats.org/officeDocument/2006/relationships/hyperlink" Target="https://advance.lexis.com/api/document?collection=cases&amp;id=urn:contentItem:5P0F-VCG1-F04C-P2TP-00000-00&amp;context=&amp;link=clscc1" TargetMode="External" /><Relationship Id="rId19" Type="http://schemas.openxmlformats.org/officeDocument/2006/relationships/image" Target="media/image3.png"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7270-003B-P4KJ-00000-00&amp;context=" TargetMode="External" /><Relationship Id="rId21" Type="http://schemas.openxmlformats.org/officeDocument/2006/relationships/hyperlink" Target="https://advance.lexis.com/api/document?collection=cases&amp;id=urn:contentItem:5P0F-VCG1-F04C-P2TP-00000-00&amp;context=&amp;link=clscc2" TargetMode="External" /><Relationship Id="rId22" Type="http://schemas.openxmlformats.org/officeDocument/2006/relationships/hyperlink" Target="https://advance.lexis.com/api/document?collection=cases&amp;id=urn:contentItem:5P0F-VCG1-F04C-P2TP-00000-00&amp;context=&amp;link=clscc3" TargetMode="External" /><Relationship Id="rId23"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0B-HFV1-J9X5-V12N-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Honua Bioenergy v. Hawaiian Elec. Indus.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71343275</vt:lpwstr>
  </property>
  <property fmtid="{D5CDD505-2E9C-101B-9397-08002B2CF9AE}" pid="3" name="LADocCount">
    <vt:lpwstr>1</vt:lpwstr>
  </property>
  <property fmtid="{D5CDD505-2E9C-101B-9397-08002B2CF9AE}" pid="4" name="UserPermID">
    <vt:lpwstr>urn:user:PA185916758</vt:lpwstr>
  </property>
</Properties>
</file>