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Capacitors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2016, Decided; September 30,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14-cv-03264-JD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136224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CAPACITORS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Capacitors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106 F. Supp. 3d 1051, 2015 U.S. Dist. LEXIS 68615 (N.D. Cal., May 26,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import, capacitors, commerce, domestic, prices, effects, purchaser, parties,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shipped, global, transactions, allegations, conspiracy, products, abroad, sales, entities, Phase, proximate cause, finished, billed, state law, extraterritorial, anticompetitive, consumer, applies, panels, prong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Chip-Tech, Ltd., Plaintiff: C. Andrew Dirksen, LEAD ATTORNEY, Cera LLP, Boston, MA; Joseph J. DePalma, LEAD ATTORNEY, Lite DePalma Greenberg, LLC, Newark, NJ; Solomon B. Cera, LEAD ATTORNEY, Cera LLP, San Francisco, CA; Steven J. Greenfogel, LEAD ATTORNEY, PRO HAC VICE, Lite DePalma Greenburg, LLC, Philadelphia, PA; Andrew Michael Purdy, PRO HAC VICE, Joseph Saveri Law Firm, San Francisco, CA; Daniel R. Karon, PRO HAC VICE, Karon LLC, Cleveland, OH; Eric L. Cramer, Ruthanne Gordon, Berger &amp; Montague, P.C., Philadelphia, PA; James W Anderson, Heins Mills Olson, P.L.C., Minneapolis, MN; James Gerard Beebe Dallal, Ryan James McEwan, Joseph R. Saveri, Joseph Saveri Law Firm, San Francisco, CA; Jason Scott Hartley, Stueve Siegel Hanson, LLP, San Diego, CA; Jessica N. Servais, PRO HAC VICE, Heins Mills and Olson, P.L.C., Minneapolis, MN; Michael C Dell'Angelo, IV, Philadelphia, PA;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Dependable Component Supply Corp., Plaintiff: C. Andrew Dirksen, LEAD ATTORNEY, Cera LLP, Boston, MA; Solomon B. Cera, LEAD ATTORNEY, Cera LLP, San Francisco, CA; Steven J. Greenfogel, LEAD ATTORNEY, Lite DePalma Greenburg, LLC, Philadelphia,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 Joseph R. Saveri, Joseph Saveri Law Firm, San Francisco, CA; Michael C Dell'Angelo, IV, Philadelphia, PA; William Henry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 Home Tech Solutions, Inc., Plaintiff: Alexander Dewitt Singh Kullar, Allan Steyer, Gabriel Dash Zeldin, Steyer Lowenthal Boodrookas Alvarez Smith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Everett Ellis, Plaintiff: Daniel Stewart Robinson, LEAD ATTORNEY, Robinson Calcagnie Robinson Shapiro Davis, Inc., Newport, CA; Anne Elizabeth Smith, Kathleen Kopach Woods, Richard Lombardo, Shaffer Lombardo Shurin, Kansas City, MO; William Robert Pointer, II, Duncan Firm,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Fredrick P. Hege, Jr., Mike Fisher, Michael W. Davis, Jane Schmit, Johnny Walker, John E. McDowell, Marta Michaud, Timothy Duffy, Sean G. Tarjoto, Todd Stowater, David C. Keller, Jamie Thaemert, Scot Dunlap, Plaintiffs: Daniel Stewart Robinson, LEAD ATTORNEY, Robinson Calcagnie Robinson Shapiro Davis, Inc., Newport,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Huffman, Charles Rusher, Jennifer Rusher, David Standridge, Troy Gibson, Plaintiffs: Brett Ashley Emison, James Kent Emison, LEAD ATTORNEYS, Langdon Emison, Lexington, MO; Daniel Stewart Robinson, LEAD ATTORNEY, Robinson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Calcagnie Robinson Shapiro Davis, Inc., Newport,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Garth Russell, M.D., BHRAC, LLC, doing business as Beverly Hills Rent-A-Car, Beverly Hills Leasing LLC, Cetacea Sound, Inc., Computing Solutions, Inc., doing business as Wired! By Computing Solutions, d/b/a Wired! Technology Partners, Gossett Motor Cars, Inc., doing business as Gossett Kia, Gossett Motor Cars, Inc., doing business as Gossett Mazda, Gossett Motor Cars, Inc., doing business as Gossett Hyundai, Gossett Motor Cars, Inc., doing business as Gossett Mitsubishi, Gossett Motor Cars, Inc., doing business as Gossett Audi, Gossett Motor Cars, Inc., doing business as Gossett Volkswagen, Gossett Motor Cars, Inc., doing business as Gossett Porsche, Gossett Motor Cars, Inc., doing business as Gossett Chrysler/Jeep/Dodge, Gossett Motor Cars, Inc., doing business as Gossett Fiat of Memphis, WE 3 Gossett, LLC, doing business as Gossett Volkswagen of Germantown, WE 3 Gossett, LLC, doing business as Gossett Kia South, WE 3 Gossett, LLC, doing business as Gossett Hyundai South, WE 3 Gossett, LLC, doing business as Gossett Fiat, Autorama, Inc., doing business as Mercedes Benz of Memphis, Plaintiffs: Daniel Stewart Robinson, LEAD ATTORNEY,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Robinson Calcagnie Robinson Shapiro Davis, Inc., Newport,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eIQ Energy Inc, Plaintiff: Austin B Cohen, Howard J Sedran, Levin Fishbein Sedran and Berman, Philadelphia, PA; Joseph R. Saveri, Joseph Saveri Law Firm, Inc., San Francisco, CA; Keith J Verrier, Levin Fishbein Sedran and Berman, PHILADELPHIA, PA; Ria C. Momblanco, Fine Kaplan and Black, R.P.C., Philadelphia, PA; Roberta D. Liebenberg, Fine Kaplan and Black, RPC,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Toy-Knowlogy Inc., Plaintiff: Eric B. Fastiff, Lieff Cabraser Heimann &amp; Bernstein LLP, San Francisco, CA;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CAE SOUND, Plaintiff: Cadio R. Zirpoli, Guido Saveri, Saveri &amp; Saveri, Inc., San Francisco, CA; Matthew Dickinson Heaphy, Saveri and Saveri, San Francisco, CA; Steven Noel Williams, Cotchett Pitre &amp; McCarthy LLP, Burlingame, CA; Travis Luke Manfredi, Saveri and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Brooks, Plaintiff: Guido Saveri, Richard Alexander Saveri, Saveri &amp; Saveri, Inc., San Francisco, CA; Matthew Dickinson Heaphy, Saveri and Saveri, San Francisco, CA; Travis Luke Manfredi, Saveri and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Brooks, Plaintiff: Krishna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Brian Narine, LEAD ATTORNEY, Meredith Narine,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Wong, Plaintiff: Jack Wing Lee, LEAD ATTORNEY, Minami Tamaki LLP, San Francisco, CA; Daniel R. Shulman, Gray, Plant, Mooty, Mooty &amp; Bennett, P.A.,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A Bennett, Plaintiff: Alexander Michael Schack, LEAD ATTORNEY,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Walker Component Group, Inc., Plaintiff: Christina H Sharp, Daniel C. Girard, Girard Gibbs LLP, San Francisco, CA; Joseph R. Saveri,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Adam John Zapala, LEAD ATTORNEY, Cotchett, Pitre &amp; McCarthy LLP, Burlingame, CA; Elizabeth Tran, LEAD ATTORNEY, Cotchett, Pitre and McCarthy, Burlingame, CA; Steven Noel Williams, LEAD ATTORNEY, Cotchett Pitre &amp; McCarthy LLP, Burlingame, CA; W. Joseph Bruckner, LEAD ATTORNEY, Lockridge Grindal Nauen P.L.L.P, Minneapolis, MN; Brian D Clark, Elizabeth R. Odette, Heidi M Silton, Lockridge Grindal Nauen P.L.L.P., Minneapolis, MN; Brian P. Murray, PRO HAC VICE, Glancy Prongay &amp; Murray LLP, New York, NY; Brian Douglas Penny, PRO HAC VICE, Goldman Scarlato Karon and Penny, P.C., Wayne, PA; Daniel E. Gustafson,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Daniel C. Hedlund, Joseph C Bourne, Gustafson Gluek PLLC, Minneapolis, MN; Devon Paul Allard, PRO HAC VICE, The Miller Law Firm, PC, Rochester, MI; Hollis L. Salzman, Kellie Lerner, Robins Kaplan LLP, New York, NY; Joseph R. Saveri, Joseph Saveri Law Firm, Inc., San Francisco, CA; Lee Albert, Glancy Prongay &amp; Murray LLP, New York, NY; Sharon S Almonrode,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Gregory Asciolla, Karin Elizabeth Garvey, LEAD ATTORNEYS, PRO HAC VICE, Labaton Sucharow LLP, New York, NY; Joseph R. Saveri, LEAD ATTORNEY, Matthew Sinclair Weiler, Nicomedes Sy Herrera, Joseph Saveri Law Firm, Inc., San Francisco, CA; Matthew Perez, LEAD ATTORNEY, PRO HAC VICE, Labaton Sucharow LLp, New York, NY; Alfred Luke Smith, Radice Law Firm PC, Philadelphia, PA; Daniel R. Karon, Karon LLC, Cleveland, OH; Gerard A Dever, PRO HAC VICE, Fine Kaplan and Black, RPC, Philadelphia, PA; James Gerard Beebe Dallal, Joseph Saveri Law Firm, San Francisco, CA; Jason Scott Hartley, Stueve Siegel Hanson, LLP, San Diego, CA; John Daniel Radice, Radice Law Firm, Long Beach, NJ; Kenneth Bruce Pickle, Jr., Radice Law Firm, PC, Brooklyn, NY; Paul Costa, Fine, Kaplan and Black, Philadelphia,</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 Rachel Ellen Kopp, Spector Roseman Kodroff and Willis PC, Philadelphia, PA; Stuart George Gross, Gross &amp; Klein, LLP, San Francisco, CA; William G. Caldes, Spector, Roseman, Kodroff &amp; Willis,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Flextronics International USA, Inc., Plaintiff: Charles E. Tompkins, LEAD ATTORNEY, Williams, Montgomery &amp; John, Ltd., Chicago, IL; Elizabeth E. Collins, LEAD ATTORNEY, PRO HAC VICE, Collins &amp; Scanlon LLP, Cleveland, OH; Jordan D. Shea, LEAD ATTORNEY, PRO HAC VICE, Williams Montgomery &amp; John Ltd., Chicago, IL; Paul James Ripp, LEAD ATTORNEY, Williams Montgomery John Ltd., Chicago, IL; Anthony J. Geroulis O'Neill, Eric Richard Lifvendahl, PRO HAC VICE, Williams Montgomery and John Ltd., Chicago, IL; Lesley Elizabeth Weaver, Bleichmar Fonti &amp; Auld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Liquidating Trustee of the Circuit City Stores, Inc.,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a Japanese corporation, PANASONIC CORPORATION OF NORTH AMERICA, Defendants: Jeffrey L. Kessler, LEAD ATTORNEY, Winston &amp; Strawn LLP, New York, NY; A. Paul Victor, David L. Greenspan, Ian L Papendick, Martin C. Geagan, Jr., Mollie C Richardson, Molly Donovan, Patrick Stephen Opdyke, Rebecca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Lara Litman, Winston and Strawn LLP, New York, NY; Frank S. Restagno, New York, NY; Kyle James Bonacum, Winston Strawn, San Francisco, CA; Matthew Robert DalSanto, Winston and Strawn LLP, San Francisco, CA; William Owen Cooper, Winston &amp; Strawn,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Sanyo Electric Group, Ltd., a Japanese corporation, Sanyo Electronic Device (U.S.A.) Corporation, Defendants: Jeffrey L. Kessler, LEAD ATTORNEY, Winston &amp; Strawn LLP, New York, NY; A. Paul Victor, David L. Greenspan, Ian L Papendick, Mollie C Richardson, Molly Donovan, Winston and Strawn LLP, New York, NY; Frank S. Restagno,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Taiyo Yuden Co., Ltd., a Japanese corporation, Taiyo Yuden (USA) Inc., Defendants: Adam C. Hemlock, Steven A. Reiss, LEAD ATTORNEYS, PRO HAC VICE, Weil Gotshal and Manges LLP, New York, NY; Christopher J. Cox, LEAD ATTORNEY, Weil Gotshal &amp; Manges, Redwood Shores, CA; David Ramraj Singh, LEAD ATTORNEY, Weil, Gotshal and Manges LLP, Redwood Shores, CA; David Ramraj Singh, LEAD ATTORNEY, Weil, Gotshal and Manges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 Tokin Corporation, a Japanese corporation, NEC Tokin America, Inc., Defendants: George Arnold Nicoud, III, LEAD ATTORNEY, Gibson, Dunn &amp; Crutcher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LLP, San Francisco, CA; Austin Van Schwing, Eli Martin Lazarus, Gibson, Dunn and Crutcher LLP, San Francisco, CA; Matthew Cameron Parrott, Gibson, Dunn and Crutcher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KEMET Corporation, Defendant: Jacob R. Sorensen, LEAD ATTORNEY, Pillsbury Winthrop Shaw Pittman LLP, San Francisco, CA; Lindsay A. Lutz, LEAD ATTORNEY, Pillsbury Winthrop Shaw Pittman, San Francisco, CA; Roxane Alicia Polidora, Pillsbury Winthrop Shaw Pittman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KEMET Corporation, KEMET Electronics Corporation, Defendants: Jacob R. Sorensen, LEAD ATTORNEY, Roxane Alicia Polidora, Pillsbury Winthrop Shaw Pittman LLP, San Francisco, CA; Lindsay A. Lutz, LEAD ATTORNEY, Pillsbury Winthrop Shaw Pittman,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Nippon Chemi-con Corporation, a Japanese corporation, Defendant: Charles F. Rule, Daniel J. Howley, LEAD ATTORNEYS, Joseph J. Bial, Paul, Weiss, Rifkind, Wharton &amp; Garrison, LLP, Washington, DC; Steven Shea Kaufhold, Kaufhold Gaskin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Chemical Co., Ltd., a Japanese corporation, Defendant: Chul Pak, Justin Andrew Cohen, LEAD ATTORNEYS, PRO HAC VICE, Wilson Sonsini Goodrich and Rosati, New York, NY; Jeffrey C. Bank, Jonathan M. Jacobson,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Tiffany L Lee, LEAD ATTORNEYS, Wilson Sonsini Goodrich and Rosati,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Nichicon Corporation, a Japanese corporation, Defendant: Brian Joseph Smith, Courtney Elizabeth Torres, Philip S. Van Der Weele, PRO HAC VICE, K L Gates, LLP, Chicago, IL; Daniel William Fox, K&amp;L Gates LLP, San Francisco, CA; John Edward Susoreny, Lauren Nicole Norris, PRO HAC VICE, Chicago, IL; Michael Edward Martinez, K&amp;L Gates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Nichicon (America) Corporation, Defendant: Brian Joseph Smith, Courtney Elizabeth Torres, Philip S. Van Der Weele, PRO HAC VICE, K L Gates, LLP, Chicago, IL; Daniel William Fox, K&amp;L Gates LLP, San Francisco, CA; John Edward Susoreny, Lauren Nicole Norris, Lauren Britt Salins, Scott M Mendel, Steven M Kowal, Chicago, IL; Michael Edward Martinez, K&amp;L Gates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AVX Corporation, Defendant: Bruce Douglas Sokler, LEAD ATTORNEY, Robert Gil Kidwell, Mintz, Levin, Cohn, Ferris, Glovsky, and Popeo, Washington, DC; Evan Nadel, LEAD ATTORNEY, Mintz Levin, San Francisco, CA; Stephen Michael Chippendale, McKenna Long and Aldridge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Rubycon Corporation, a Japanese corporation, Rubycon America Inc., Defendants: Djordje Petkoski, LEAD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ATTORNEY, Leslie Kostyshak, Michael Brett Burns, Robert A. Caplen, Wendell L Taylor, Hunton and Williams, LLP, Washington, DC; David Higbee, PRO HAC VICE, Hunton and Williams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Elna Co. Ltd., a Japanese corporation, Elna America Inc., Defendants: Alanna Gayle Buchanan, WilmerHale, Palo Alto, CA; Christopher Matthew Megaw, Washington, DC; Erik Chiles Shallman, Wilmer Hale, Palo Alto, CA Heather S. Tewksbury, Wilmer Cutler Pickering Hale and Dorr LLP, Palo Alto, CA; Margaret E. O'Grady, PRO HAC VICE, Wilmer Hale, LLP, Boston, MA; Thomas Mueller, WilmerHale,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Matsuo Electric Co, Ltd., a Japanese corporation, Defendant: Felix T. Woo, LEAD ATTORNEY, Sonnenschein Nath et al, Los Angeles, CA; Bonnie Lau, Dentons 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Toshin Kogyo Co., Ltd., a Japanese corporation, Defendant: Kenji Kasahara, LEAD ATTORNEY, Representative Director of Toshin Kogyo Co., LTD, Tokyo, Japan.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Electro-Mechanics, a South Korean corporation, Samsung Electro Mechanics America, Inc., Defendants: Derek Ludwin, LEAD ATTORNEY, Washington, DC; Anita Fern Stork, Esq., Covington &amp; Burling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Rohm Co., Ltd., a Japanese corporation,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Defendant: Mallory Ann Jensen, Michael Frederick Tubach, O'Melveny and Myers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Rohm Semiconductor U.S.A., LLC, Defendant: Kenneth Ryan O'Rourke, LEAD ATTORNEY, O'Melveny &amp; Myers LLP, Los Angeles, CA; Mallory Ann Jensen, Michael Frederick Tubach, O'Melveny and Myers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Chemi-con Corporation, Defendant: Charles F. Rule, Daniel J. Howley, LEAD ATTORNEYS, Joseph J. Bial, Paul, Weiss, Rifkind, Wharton &amp; Garrison LLP, Washington, DC; Steven Shea Kaufhold, Kaufhold Gaskin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Chemical Company America, Ltd., Defendant: Chul Pak, LEAD ATTORNEY, PRO HAC VICE, Wilson Sonsini Goodrich and Rosati, New York, NY; Jeffrey C. Bank, Jonathan M. Jacobson, LEAD ATTORNEYS, Wilson Sonsini Goodrich and Rosati, New York, NY; Justin Andrew Cohen, LEAD ATTORNEY, PRO HAC VICE, Wilson Sonsini Goodrich and Rosati, New York, NY United Sta; Tiffany L Lee, LEAD ATTORNEY, Wilson Sonsini Goodrich and Rosati, New York, NY United Sta.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AIC Incorporated, Defendant: Jonathan M. Jacobson, LEAD ATTORNEYS, Wilson Sonsini Goodrich and Rosati, New York, NY; Justin Andrew Cohen, LEAD ATTORNEY, PRO HAC VICE, Wilson Sonsini Goodrich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Rosati, New York, NY United Sta; Tiffany L Lee, LEAD ATTORNEY, Wilson Sonsini Goodrich and Rosati, New York, NY United Sta.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TDK Corporation, Defendant: John Clayton Everett, Jr., LEAD ATTORNEY, PRO HAC VICE, Morgan, Lewis &amp; Bockius LLP, Washington, DC; Michelle Park Chiu, LEAD ATTORNEY, Morgan Lewis &amp; Bockius LLP, San Francisco, CA; Scott A. Stempel, LEAD ATTORNEY, PRO HAC VICE, Morgan, Lewis Bockius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Soshin Electronics of America Inc., Soshin Electric Co., Ltd., Defendants: David Hugh Stern, LEAD ATTORNEY, Hughes Hubbard Reed LLP, Los Angeles, CA; Sigrid Ursula Jernudd, Hughes, Hubbard and Reed LLP, New York, NY; William J. Kolasky, PRO HAC VICE,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Nissei Electronic Co. LTD., Defendant: Adam R. Fox, LEAD ATTORNEY, Squire, Sanders &amp; Dempsey, LLP, Los Angeles, CA; Helen Huang Yang, Squire Sanders US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Nitsuko Electronics Corporation, Defendant: Ashley Marie Bauer, Belinda S Lee, LEAD ATTORNEYS, Latham &amp; Watkins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Shinyei Corporation of America, Inc., Shinyei Capacitor Co., Ltd., Defendants: Gaspare J. Bono, LEAD ATTORNEY, Dentons US LLP, Washington, DC; Andrew S. Azarmi, Dentons US LLP, San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Francisco, CA; Claire M Maddox, McKenna Long and Aldridge LLP, Washington, DC; Eric Yu-Dar Wu, PRO HAC VICE, Dentons US LLP, Washington, DC; Stephen Michael Chippendale, McKenna Long and Aldridge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Shinyei Kaisha, Defendant: Gaspare J. Bono, LEAD ATTORNEY, Dentons US LLP, Washington, DC; Andrew S. Azarmi, Dentons US LLP, San Francisco, CA; Claire M Maddox, McKenna Long and Aldridge LLP, Washington, DC; Eric Yu-Dar Wu, PRO HAC VICE, Dentons US LLP, Washington, DC; Stephen Michael Chippendale, McKenna Long and Aldridge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Taitsu America, Inc., Taitsu Corporation, Defendants: Aaron R Gott, PRO HAC VICE, La Jolla, Ca; Jarod Michael Bona, PRO HAC VICE, Bona Law PC, La Jolla,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Okaya Electric America Inc., Okaya Electric Industries Co., Ltd., Defendants: Darrell Prescott, LEAD ATTORNEY, Catherine Yunie Stillman, Michael B Atkins, Baker and McKenzie LLP, New York, NY; Colin H. Murray, Baker &amp; McKenzie LLP, Two Embarcadero Center, San Francisco, CA; Meghan Elizabeth Hausler, Baker and McKenzie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Vishay Polytech Co., Ltd., HolyStone International, Holy Stone Enterprise Co., Ltd., Defendants: Jeffrey Alan LeVee, LEAD ATTORNEY,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Rachel Hadass Zernik, Jones Day,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FPCAP Electronics (Suzhou) Co., Ltd., Defendant: Daniel William Fox, K&amp;L Gates LLP, San Francisco, CA; Scott M Mendel,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Fujitsu Components America, Inc., Fujitsu Semiconductor America, Inc., Defendants: Paul T. Friedman, LEAD ATTORNEY, Michael P. Kniffen, Morrison &amp; Foerster LLP, San Francisco, CA; Jeffrey A Jaeckel, Morrison and Foerster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Sanyo North America Corporation, SANYO Electric Co., Ltd., Defendants: Jeffrey L. Kessler, LEAD ATTORNEY, Martin C. Geagan, Jr., Winston &amp; Strawn LLP, New York, NY; Frank S. Restagno, PRO HAC VICE, New York, NY; Ian L Papendick, Matthew Robert DalSanto, Winston &amp; Strawn LLP, San Francisco, CA; Kyle James Bonacum, William Owen Cooper, Winston Strawn, San Francisco, CA; Patrick Stephen Opdyke, PRO HAC VICE, Winston and Strawn LLP, New York, NY; Rebecca Lara Litman, PRO HAC VICE, Winston and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Milestone Global Technology, Inc., Defendant: Jeffrey Alan LeVee, LEAD ATTORNEY, Rachel Hadass Zernik, Eric Patrick Enson, Jones Day,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Shizuki Electric Co., Ltd, American Shizuki Corporation, Defendants: Allison Ann Davis, LEAD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ATTORNEY, Davis Wright Tremaine LLP, San Francisco, San Francisco, CA; Nick Steven Verwolf, Davis Wright Tremaine LLP, Bellevue, WA; Sanjay Mohan Nangia, Davis Wright Tremaine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Shizuki Electric Co., Inc., Defendant: Allison Ann Davis, LEAD ATTORNEY, Kelly Michelle Gorton, Davis Wright Tremaine LLP, San Francisco,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Quathimatine Holdings, Inc., Movant: Todd Anthony Seaver, Berman DeValerio, One California Street,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Schuten Electronics, Inc., Interested Party: Brent W Johnson, Kit A. Pierson, Cohen Milstein Sellers and Toll PLLC, Washington, DC; Matthew W Ruan, Cohen Milstein Sellers &amp; Toll,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Top Floor Home Improvements, Interested Party: Christopher L. Lebsock, LEAD ATTORNEY,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Intervenor: Jacklin Chou Lem, LEAD ATTORNEY,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San Francisco, CA; Alexandra Jill Shepard, Andrew Jon Nicholson-Meade, Howard J. Parker,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DONATO,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DONATO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RE PHASE I OF SUMMARY JUDGMENT ON FOREIGN TRANSACTIONS</w:t>
      </w:r>
      <w:r>
        <w:rPr>
          <w:rFonts w:ascii="arial" w:eastAsia="arial" w:hAnsi="arial" w:cs="arial"/>
          <w:b/>
          <w:i w:val="0"/>
          <w:strike w:val="0"/>
          <w:noProof w:val="0"/>
          <w:color w:val="000000"/>
          <w:position w:val="0"/>
          <w:sz w:val="20"/>
          <w:u w:val="none"/>
          <w:vertAlign w:val="baseline"/>
        </w:rPr>
        <w:t> [*17] </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order resolves legal disputes between the parties about the application of </w:t>
      </w:r>
      <w:hyperlink r:id="rId12" w:history="1">
        <w:r>
          <w:rPr>
            <w:rFonts w:ascii="arial" w:eastAsia="arial" w:hAnsi="arial" w:cs="arial"/>
            <w:b w:val="0"/>
            <w:i/>
            <w:strike w:val="0"/>
            <w:noProof w:val="0"/>
            <w:color w:val="0077CC"/>
            <w:position w:val="0"/>
            <w:sz w:val="20"/>
            <w:u w:val="single"/>
            <w:vertAlign w:val="baseline"/>
          </w:rPr>
          <w:t>Section 6a</w:t>
        </w:r>
      </w:hyperlink>
      <w:r>
        <w:rPr>
          <w:rFonts w:ascii="arial" w:eastAsia="arial" w:hAnsi="arial" w:cs="arial"/>
          <w:b w:val="0"/>
          <w:i w:val="0"/>
          <w:strike w:val="0"/>
          <w:noProof w:val="0"/>
          <w:color w:val="000000"/>
          <w:position w:val="0"/>
          <w:sz w:val="20"/>
          <w:u w:val="none"/>
          <w:vertAlign w:val="baseline"/>
        </w:rPr>
        <w:t xml:space="preserve"> of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w:t>
      </w:r>
      <w:hyperlink r:id="rId12" w:history="1">
        <w:r>
          <w:rPr>
            <w:rFonts w:ascii="arial" w:eastAsia="arial" w:hAnsi="arial" w:cs="arial"/>
            <w:b w:val="0"/>
            <w:i/>
            <w:strike w:val="0"/>
            <w:noProof w:val="0"/>
            <w:color w:val="0077CC"/>
            <w:position w:val="0"/>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 xml:space="preserve"> ("FTAIA"), in this case. Dkt. Nos. 911, 915. After additional briefing and submission of evidence by the parties, the Court will issue a Phase II order that will constitute the final decision on defendants' 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In these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plaintiffs are direct and indirect purchasers of capacitors, a small component used to store and even out the flow of energy in electronic devices.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710, 1003. Capacitors are a basic building block of electrical devices and it is no exaggeration to say that they are present in virtually every electronic device in the world. The gist of the complaints is that the defendants, who "dominate" the highly concentrated markets for electrolytic and film capacitors, conspired to fix prices and suppress competition in those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799-4, 1112. Defendants are mainly overseas manufacturers operating in Japan and other parts of East Asia.</w:t>
      </w:r>
    </w:p>
    <w:p>
      <w:pPr>
        <w:keepNext w:val="0"/>
        <w:widowControl w:val="0"/>
        <w:spacing w:before="200" w:after="0" w:line="260" w:lineRule="atLeast"/>
        <w:ind w:left="0" w:right="0" w:firstLine="0"/>
        <w:jc w:val="both"/>
      </w:pPr>
      <w:bookmarkStart w:id="10" w:name="Bookmark_para_3"/>
      <w:bookmarkEnd w:id="10"/>
      <w:bookmarkStart w:id="11" w:name="Bookmark_I5M1FVJM2D6NY90020000400"/>
      <w:bookmarkEnd w:id="11"/>
      <w:r>
        <w:rPr>
          <w:rFonts w:ascii="arial" w:eastAsia="arial" w:hAnsi="arial" w:cs="arial"/>
          <w:b w:val="0"/>
          <w:i w:val="0"/>
          <w:strike w:val="0"/>
          <w:noProof w:val="0"/>
          <w:color w:val="000000"/>
          <w:position w:val="0"/>
          <w:sz w:val="20"/>
          <w:u w:val="none"/>
          <w:vertAlign w:val="baseline"/>
        </w:rPr>
        <w:t>Given the international bent of the allegations, the parties and the Court recognized from the start that the FTAIA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would play a pivotal role in this case. As is often noted, the FTAIA is an "inelegantly phrased" statute. </w:t>
      </w:r>
      <w:bookmarkStart w:id="12" w:name="Bookmark_I5M1FVJM2HM6MD0010000400"/>
      <w:bookmarkEnd w:id="12"/>
      <w:bookmarkStart w:id="13" w:name="Bookmark_I5M1FVJM2D6NY90010000400"/>
      <w:bookmarkEnd w:id="13"/>
      <w:hyperlink r:id="rId13" w:history="1">
        <w:r>
          <w:rPr>
            <w:rFonts w:ascii="arial" w:eastAsia="arial" w:hAnsi="arial" w:cs="arial"/>
            <w:b w:val="0"/>
            <w:i/>
            <w:strike w:val="0"/>
            <w:noProof w:val="0"/>
            <w:color w:val="0077CC"/>
            <w:position w:val="0"/>
            <w:sz w:val="20"/>
            <w:u w:val="single"/>
            <w:vertAlign w:val="baseline"/>
          </w:rPr>
          <w:t>Animal Science Products, Inc. v. China Minmetals Corp.</w:t>
        </w:r>
      </w:hyperlink>
      <w:hyperlink r:id="rId13" w:history="1">
        <w:r>
          <w:rPr>
            <w:rFonts w:ascii="arial" w:eastAsia="arial" w:hAnsi="arial" w:cs="arial"/>
            <w:b w:val="0"/>
            <w:i/>
            <w:strike w:val="0"/>
            <w:noProof w:val="0"/>
            <w:color w:val="0077CC"/>
            <w:position w:val="0"/>
            <w:sz w:val="20"/>
            <w:u w:val="single"/>
            <w:vertAlign w:val="baseline"/>
          </w:rPr>
          <w:t>, 654 F.3d 462, 465 (3d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 w:name="Bookmark_I5M1FVJM2D6NY90030000400"/>
      <w:bookmarkEnd w:id="14"/>
      <w:r>
        <w:rPr>
          <w:rFonts w:ascii="arial" w:eastAsia="arial" w:hAnsi="arial" w:cs="arial"/>
          <w:b w:val="0"/>
          <w:i/>
          <w:strike w:val="0"/>
          <w:noProof w:val="0"/>
          <w:color w:val="000000"/>
          <w:position w:val="0"/>
          <w:sz w:val="20"/>
          <w:u w:val="none"/>
          <w:vertAlign w:val="baseline"/>
        </w:rPr>
        <w:t>United States v. Hsiung</w:t>
      </w:r>
      <w:r>
        <w:rPr>
          <w:rFonts w:ascii="arial" w:eastAsia="arial" w:hAnsi="arial" w:cs="arial"/>
          <w:b w:val="0"/>
          <w:i/>
          <w:strike w:val="0"/>
          <w:noProof w:val="0"/>
          <w:color w:val="000000"/>
          <w:position w:val="0"/>
          <w:sz w:val="20"/>
          <w:u w:val="none"/>
          <w:vertAlign w:val="baseline"/>
        </w:rPr>
        <w:t>, 778 F.3d 738, 751 (9th Cir. 2015)</w:t>
      </w:r>
      <w:r>
        <w:rPr>
          <w:rFonts w:ascii="arial" w:eastAsia="arial" w:hAnsi="arial" w:cs="arial"/>
          <w:b w:val="0"/>
          <w:i w:val="0"/>
          <w:strike w:val="0"/>
          <w:noProof w:val="0"/>
          <w:color w:val="000000"/>
          <w:position w:val="0"/>
          <w:sz w:val="20"/>
          <w:u w:val="none"/>
          <w:vertAlign w:val="baseline"/>
        </w:rPr>
        <w:t xml:space="preserve"> ("a web of words"). The intent behind the statute is not the complicating factor. </w:t>
      </w:r>
      <w:bookmarkStart w:id="15" w:name="Bookmark_I5M1FVJM2HM6MD0010000400_2"/>
      <w:bookmarkEnd w:id="15"/>
      <w:r>
        <w:rPr>
          <w:rFonts w:ascii="arial" w:eastAsia="arial" w:hAnsi="arial" w:cs="arial"/>
          <w:b w:val="0"/>
          <w:i w:val="0"/>
          <w:strike w:val="0"/>
          <w:noProof w:val="0"/>
          <w:color w:val="000000"/>
          <w:position w:val="0"/>
          <w:sz w:val="20"/>
          <w:u w:val="none"/>
          <w:vertAlign w:val="baseline"/>
        </w:rPr>
        <w:t xml:space="preserve">Congress's goal was to assure American companies that they would not be liable under the Sherman Act for conduct that typically would be considered anticompetitive so long as that conduct adversely affected foreign markets only. </w:t>
      </w:r>
      <w:bookmarkStart w:id="16" w:name="Bookmark_I5M1FVJM2D6NY90050000400"/>
      <w:bookmarkEnd w:id="16"/>
      <w:hyperlink r:id="rId14" w:history="1">
        <w:r>
          <w:rPr>
            <w:rFonts w:ascii="arial" w:eastAsia="arial" w:hAnsi="arial" w:cs="arial"/>
            <w:b w:val="0"/>
            <w:i/>
            <w:strike w:val="0"/>
            <w:noProof w:val="0"/>
            <w:color w:val="0077CC"/>
            <w:position w:val="0"/>
            <w:sz w:val="20"/>
            <w:u w:val="single"/>
            <w:vertAlign w:val="baseline"/>
          </w:rPr>
          <w:t>F. Hoffmann-La Roche Ltd. v. Empagran S.A.</w:t>
        </w:r>
      </w:hyperlink>
      <w:hyperlink r:id="rId14" w:history="1">
        <w:r>
          <w:rPr>
            <w:rFonts w:ascii="arial" w:eastAsia="arial" w:hAnsi="arial" w:cs="arial"/>
            <w:b w:val="0"/>
            <w:i/>
            <w:strike w:val="0"/>
            <w:noProof w:val="0"/>
            <w:color w:val="0077CC"/>
            <w:position w:val="0"/>
            <w:sz w:val="20"/>
            <w:u w:val="single"/>
            <w:vertAlign w:val="baseline"/>
          </w:rPr>
          <w:t>, 542 U.S. 155, 161, 124 S. Ct. 2359, 159 L. Ed. 2d 226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Empagran I</w:t>
      </w:r>
      <w:r>
        <w:rPr>
          <w:rFonts w:ascii="arial" w:eastAsia="arial" w:hAnsi="arial" w:cs="arial"/>
          <w:b w:val="0"/>
          <w:i w:val="0"/>
          <w:strike w:val="0"/>
          <w:noProof w:val="0"/>
          <w:color w:val="000000"/>
          <w:position w:val="0"/>
          <w:sz w:val="20"/>
          <w:u w:val="none"/>
          <w:vertAlign w:val="baseline"/>
        </w:rPr>
        <w:t>") (citing H.R. Rep. No. 97-686 at 1-3, 9-10 (1982)). As the Supreme Court has held, the FTAIA removes overseas transactions and business arrangements from the purview of the Sherman Act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those activities adversely affect domestic commerce, imports to the United States, or exporting activities of one engaged in such activities within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17" w:name="Bookmark_para_4"/>
      <w:bookmarkEnd w:id="17"/>
      <w:r>
        <w:rPr>
          <w:rFonts w:ascii="arial" w:eastAsia="arial" w:hAnsi="arial" w:cs="arial"/>
          <w:b w:val="0"/>
          <w:i w:val="0"/>
          <w:strike w:val="0"/>
          <w:noProof w:val="0"/>
          <w:color w:val="000000"/>
          <w:position w:val="0"/>
          <w:sz w:val="20"/>
          <w:u w:val="none"/>
          <w:vertAlign w:val="baseline"/>
        </w:rPr>
        <w:t xml:space="preserve">The challenge of the FTAIA is applying Congress's intent to the myriad of complex business practices found in the global economy. </w:t>
      </w:r>
      <w:bookmarkStart w:id="18" w:name="Bookmark_I5M1FVJM2HM6MD0030000400"/>
      <w:bookmarkEnd w:id="18"/>
      <w:r>
        <w:rPr>
          <w:rFonts w:ascii="arial" w:eastAsia="arial" w:hAnsi="arial" w:cs="arial"/>
          <w:b w:val="0"/>
          <w:i w:val="0"/>
          <w:strike w:val="0"/>
          <w:noProof w:val="0"/>
          <w:color w:val="000000"/>
          <w:position w:val="0"/>
          <w:sz w:val="20"/>
          <w:u w:val="none"/>
          <w:vertAlign w:val="baseline"/>
        </w:rPr>
        <w:t xml:space="preserve">This task has bedeviled the courts. The Supreme Court has not addressed the FTAIA since </w:t>
      </w:r>
      <w:r>
        <w:rPr>
          <w:rFonts w:ascii="arial" w:eastAsia="arial" w:hAnsi="arial" w:cs="arial"/>
          <w:b w:val="0"/>
          <w:i/>
          <w:strike w:val="0"/>
          <w:noProof w:val="0"/>
          <w:color w:val="000000"/>
          <w:position w:val="0"/>
          <w:sz w:val="20"/>
          <w:u w:val="none"/>
          <w:vertAlign w:val="baseline"/>
        </w:rPr>
        <w:t>Empagran I</w:t>
      </w:r>
      <w:r>
        <w:rPr>
          <w:rFonts w:ascii="arial" w:eastAsia="arial" w:hAnsi="arial" w:cs="arial"/>
          <w:b w:val="0"/>
          <w:i w:val="0"/>
          <w:strike w:val="0"/>
          <w:noProof w:val="0"/>
          <w:color w:val="000000"/>
          <w:position w:val="0"/>
          <w:sz w:val="20"/>
          <w:u w:val="none"/>
          <w:vertAlign w:val="baseline"/>
        </w:rPr>
        <w:t xml:space="preserve"> in 2004, and circuit and district court decisions often differ, sometimes sharply, over basic provisions of the FTAIA. </w:t>
      </w:r>
      <w:r>
        <w:rPr>
          <w:rFonts w:ascii="arial" w:eastAsia="arial" w:hAnsi="arial" w:cs="arial"/>
          <w:b w:val="0"/>
          <w:i/>
          <w:strike w:val="0"/>
          <w:noProof w:val="0"/>
          <w:color w:val="000000"/>
          <w:position w:val="0"/>
          <w:sz w:val="20"/>
          <w:u w:val="none"/>
          <w:vertAlign w:val="baseline"/>
        </w:rPr>
        <w:t xml:space="preserve">See, e.g., </w:t>
      </w:r>
      <w:bookmarkStart w:id="19" w:name="Bookmark_I5M1FVJM2HM6MD0020000400"/>
      <w:bookmarkEnd w:id="19"/>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strike w:val="0"/>
          <w:noProof w:val="0"/>
          <w:color w:val="000000"/>
          <w:position w:val="0"/>
          <w:sz w:val="20"/>
          <w:u w:val="none"/>
          <w:vertAlign w:val="baseline"/>
        </w:rPr>
        <w:t>, 778 F.3d at 758 n.9</w:t>
      </w:r>
      <w:r>
        <w:rPr>
          <w:rFonts w:ascii="arial" w:eastAsia="arial" w:hAnsi="arial" w:cs="arial"/>
          <w:b w:val="0"/>
          <w:i w:val="0"/>
          <w:strike w:val="0"/>
          <w:noProof w:val="0"/>
          <w:color w:val="000000"/>
          <w:position w:val="0"/>
          <w:sz w:val="20"/>
          <w:u w:val="none"/>
          <w:vertAlign w:val="baseline"/>
        </w:rPr>
        <w:t xml:space="preserve"> (noting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disagreement between Ninth Circuit, and Second and Seventh Circuits, over definition of "direct" in </w:t>
      </w:r>
      <w:hyperlink r:id="rId12" w:history="1">
        <w:r>
          <w:rPr>
            <w:rFonts w:ascii="arial" w:eastAsia="arial" w:hAnsi="arial" w:cs="arial"/>
            <w:b w:val="0"/>
            <w:i/>
            <w:strike w:val="0"/>
            <w:noProof w:val="0"/>
            <w:color w:val="0077CC"/>
            <w:position w:val="0"/>
            <w:sz w:val="20"/>
            <w:u w:val="single"/>
            <w:vertAlign w:val="baseline"/>
          </w:rPr>
          <w:t>Section 6a(1)</w:t>
        </w:r>
      </w:hyperlink>
      <w:r>
        <w:rPr>
          <w:rFonts w:ascii="arial" w:eastAsia="arial" w:hAnsi="arial" w:cs="arial"/>
          <w:b w:val="0"/>
          <w:i w:val="0"/>
          <w:strike w:val="0"/>
          <w:noProof w:val="0"/>
          <w:color w:val="000000"/>
          <w:position w:val="0"/>
          <w:sz w:val="20"/>
          <w:u w:val="none"/>
          <w:vertAlign w:val="baseline"/>
        </w:rPr>
        <w:t>). The extraterritorial reach of the Sherman Act remains far from obvious in the case law.</w:t>
      </w:r>
    </w:p>
    <w:p>
      <w:pPr>
        <w:keepNext w:val="0"/>
        <w:widowControl w:val="0"/>
        <w:spacing w:before="200" w:after="0" w:line="260" w:lineRule="atLeast"/>
        <w:ind w:left="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The facts pertinent to the FTAIA add to the complexity of applying it. They typically consist of gigabytes of transactional data, emails, contracts and other business documents for each individual defendant, along with scores of witness depositions, all subject to language translation challenges. Economists and other consultants are often retained to help manage and understand these vast data sets, and inevitably add their own voluminous expert reports and deposition testimony.</w:t>
      </w:r>
    </w:p>
    <w:p>
      <w:pPr>
        <w:keepNext w:val="0"/>
        <w:widowControl w:val="0"/>
        <w:spacing w:before="20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All of this can make cases with a serious FTAIA component a time and money sinkhole for the litigants. The typical case management schedule exacerbates the problem by tending to defer FTAIA determinations until late in the case and after years of staggeringly costly multinational discovery.</w:t>
      </w:r>
    </w:p>
    <w:p>
      <w:pPr>
        <w:keepNext w:val="0"/>
        <w:widowControl w:val="0"/>
        <w:spacing w:before="200" w:after="0" w:line="260" w:lineRule="atLeast"/>
        <w:ind w:left="0" w:right="0" w:firstLine="0"/>
        <w:jc w:val="both"/>
      </w:pPr>
      <w:bookmarkStart w:id="22" w:name="Bookmark_para_7"/>
      <w:bookmarkEnd w:id="22"/>
      <w:r>
        <w:rPr>
          <w:rFonts w:ascii="arial" w:eastAsia="arial" w:hAnsi="arial" w:cs="arial"/>
          <w:b w:val="0"/>
          <w:i w:val="0"/>
          <w:strike w:val="0"/>
          <w:noProof w:val="0"/>
          <w:color w:val="000000"/>
          <w:position w:val="0"/>
          <w:sz w:val="20"/>
          <w:u w:val="none"/>
          <w:vertAlign w:val="baseline"/>
        </w:rPr>
        <w:t>After discussions with the parties, the Court decided to address the FTAIA issues sooner rather than later in the case. The goal was to resolve the parties' FTAIA disagreements early enough to realize downstream efficiencies and economies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discovery and class certification and other motions. Early resolution might also help to spur settlement talks. To these ends, the Court set a separate and early briefing track for FTAIA issues. After an initial round of briefs on this track, it became clear that a phased approach would simplify and clarify resolution of the FTAIA questions.</w:t>
      </w:r>
    </w:p>
    <w:p>
      <w:pPr>
        <w:keepNext w:val="0"/>
        <w:widowControl w:val="0"/>
        <w:spacing w:before="240" w:after="0" w:line="260" w:lineRule="atLeast"/>
        <w:ind w:left="0" w:right="0" w:firstLine="0"/>
        <w:jc w:val="both"/>
      </w:pPr>
      <w:bookmarkStart w:id="23" w:name="Bookmark_para_8"/>
      <w:bookmarkEnd w:id="23"/>
      <w:bookmarkStart w:id="24" w:name="Bookmark_I5M1FVJM2HM6MD0050000400"/>
      <w:bookmarkEnd w:id="24"/>
      <w:r>
        <w:rPr>
          <w:rFonts w:ascii="arial" w:eastAsia="arial" w:hAnsi="arial" w:cs="arial"/>
          <w:b w:val="0"/>
          <w:i w:val="0"/>
          <w:strike w:val="0"/>
          <w:noProof w:val="0"/>
          <w:color w:val="000000"/>
          <w:position w:val="0"/>
          <w:sz w:val="20"/>
          <w:u w:val="none"/>
          <w:vertAlign w:val="baseline"/>
        </w:rPr>
        <w:t xml:space="preserve">This order decides the first phase, which focuses on the parties' disagreements about the scope of the import exclusion and proximate cause for the domestic effects exception to the FTAIA.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Civ. P. 56</w:t>
        </w:r>
      </w:hyperlink>
      <w:r>
        <w:rPr>
          <w:rFonts w:ascii="arial" w:eastAsia="arial" w:hAnsi="arial" w:cs="arial"/>
          <w:b w:val="0"/>
          <w:i w:val="0"/>
          <w:strike w:val="0"/>
          <w:noProof w:val="0"/>
          <w:color w:val="000000"/>
          <w:position w:val="0"/>
          <w:sz w:val="20"/>
          <w:u w:val="none"/>
          <w:vertAlign w:val="baseline"/>
        </w:rPr>
        <w:t xml:space="preserve"> Advisory Committee Notes to the 1946 Amendment (partial summary judgment under the rule may be "a pretrial adjudication that certain issues shall be deemed established for the trial of the case. This adjudication is more nearly akin to the preliminary order under </w:t>
      </w:r>
      <w:hyperlink r:id="rId16"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and likewise serves the purpose of speeding up litigation by eliminating before trial matters wherein there is no genuine issue of fact"); </w:t>
      </w:r>
      <w:bookmarkStart w:id="25" w:name="Bookmark_I5M1FVJM2HM6MD0040000400"/>
      <w:bookmarkEnd w:id="25"/>
      <w:hyperlink r:id="rId17" w:history="1">
        <w:r>
          <w:rPr>
            <w:rFonts w:ascii="arial" w:eastAsia="arial" w:hAnsi="arial" w:cs="arial"/>
            <w:b w:val="0"/>
            <w:i/>
            <w:strike w:val="0"/>
            <w:noProof w:val="0"/>
            <w:color w:val="0077CC"/>
            <w:position w:val="0"/>
            <w:sz w:val="20"/>
            <w:u w:val="single"/>
            <w:vertAlign w:val="baseline"/>
          </w:rPr>
          <w:t>Allen v. C &amp; H Distributors, LLC</w:t>
        </w:r>
      </w:hyperlink>
      <w:hyperlink r:id="rId17" w:history="1">
        <w:r>
          <w:rPr>
            <w:rFonts w:ascii="arial" w:eastAsia="arial" w:hAnsi="arial" w:cs="arial"/>
            <w:b w:val="0"/>
            <w:i/>
            <w:strike w:val="0"/>
            <w:noProof w:val="0"/>
            <w:color w:val="0077CC"/>
            <w:position w:val="0"/>
            <w:sz w:val="20"/>
            <w:u w:val="single"/>
            <w:vertAlign w:val="baseline"/>
          </w:rPr>
          <w:t>, No. 10-1604, 2013 U.S. Dist. LEXIS 119711, 2013 WL 4506233, at *2 (W.D. La. Aug. 22, 2013)</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proper vehicle for determining applicable law). The second phase will apply these legal determinations to the record and end in a final order on defendants' requests for summary judgment under the FTAIA. The parties' next steps are detailed in the Conclusion.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This consolidated case involves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multiple groups of plaintiffs, close to two dozen defendants, and more than a decade of alleged conspiratorial conduct. There are two operative complaints. One presents the claims of the direct purchaser plaintiffs, which consists of (1) entities who seek to proceed as a class,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Direct Purchaser Plaintiffs ("DPPs"), and (2) Flextronics International USA, Inc. ("Flextronics"), which has opted to proceed on an individual, non-class basis. Dkt. No. 799-4. The other operative complaint is the fourth consolidated complaint filed by the indirect purchaser plaintiffs ("IPPs"). Dkt. No. 1112. The IPPs are individuals and companies who purchased stand-alone capacitors from distributors, who in turn purchased those capacitors from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29-39. The IPPs do not include any consumers who purchased finished goods incorporating capacitors. Plaintiffs in that category were voluntarily dismissed without prejudice earlier in the case. Dkt. No. 710 at 3-4. Defendants for both complaints are mostly foreign corporations that manufacture capacitors and are alleged to have participated in a global price-fixing conspiracy spanning over a decade.</w:t>
      </w:r>
    </w:p>
    <w:p>
      <w:pPr>
        <w:keepNext w:val="0"/>
        <w:widowControl w:val="0"/>
        <w:spacing w:before="200" w:after="0" w:line="260" w:lineRule="atLeast"/>
        <w:ind w:left="0" w:right="0" w:firstLine="0"/>
        <w:jc w:val="both"/>
      </w:pPr>
      <w:bookmarkStart w:id="27" w:name="Bookmark_para_10"/>
      <w:bookmarkEnd w:id="27"/>
      <w:r>
        <w:rPr>
          <w:rFonts w:ascii="arial" w:eastAsia="arial" w:hAnsi="arial" w:cs="arial"/>
          <w:b w:val="0"/>
          <w:i w:val="0"/>
          <w:strike w:val="0"/>
          <w:noProof w:val="0"/>
          <w:color w:val="000000"/>
          <w:position w:val="0"/>
          <w:sz w:val="20"/>
          <w:u w:val="none"/>
          <w:vertAlign w:val="baseline"/>
        </w:rPr>
        <w:t>The FTAIA is pivotal here because it limits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extraterritorial reach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which prohibits conspiracies "in restraint of trade or commerce among the several States, or with foreign nations."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is the only claim DPPs have alleged against defendants. Dkt. No. 799-4 ¶¶ 433-443. Flextronics joins in alleging the same claim and adds claims under California's Cartwright Act (</w:t>
      </w:r>
      <w:hyperlink r:id="rId18" w:history="1">
        <w:r>
          <w:rPr>
            <w:rFonts w:ascii="arial" w:eastAsia="arial" w:hAnsi="arial" w:cs="arial"/>
            <w:b w:val="0"/>
            <w:i/>
            <w:strike w:val="0"/>
            <w:noProof w:val="0"/>
            <w:color w:val="0077CC"/>
            <w:position w:val="0"/>
            <w:sz w:val="20"/>
            <w:u w:val="single"/>
            <w:vertAlign w:val="baseline"/>
          </w:rPr>
          <w:t>Cal. Bus. &amp; Prof. Code § 16720</w:t>
        </w:r>
      </w:hyperlink>
      <w:r>
        <w:rPr>
          <w:rFonts w:ascii="arial" w:eastAsia="arial" w:hAnsi="arial" w:cs="arial"/>
          <w:b w:val="0"/>
          <w:i w:val="0"/>
          <w:strike w:val="0"/>
          <w:noProof w:val="0"/>
          <w:color w:val="000000"/>
          <w:position w:val="0"/>
          <w:sz w:val="20"/>
          <w:u w:val="none"/>
          <w:vertAlign w:val="baseline"/>
        </w:rPr>
        <w:t>) and Unfair Competition Law (</w:t>
      </w:r>
      <w:hyperlink r:id="rId19"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433-469. The IPPs allege claims under (1)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(for injunctive relief only), (2)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restraint of trade claims under the laws of California, Iowa, Michigan, Minnesota, Nebraska and New York, and (3) state consumer protection and unfair competition claims under the laws of California, Florida, Nebraska and New York. Dkt. No. 1112 ¶¶ 381-419.</w:t>
      </w:r>
    </w:p>
    <w:p>
      <w:pPr>
        <w:keepNext w:val="0"/>
        <w:widowControl w:val="0"/>
        <w:spacing w:before="200" w:after="0" w:line="260" w:lineRule="atLeast"/>
        <w:ind w:left="0" w:right="0" w:firstLine="0"/>
        <w:jc w:val="both"/>
      </w:pPr>
      <w:bookmarkStart w:id="28" w:name="Bookmark_para_11"/>
      <w:bookmarkEnd w:id="28"/>
      <w:bookmarkStart w:id="29" w:name="Bookmark_I5M1FVJM28T4J20020000400"/>
      <w:bookmarkEnd w:id="29"/>
      <w:r>
        <w:rPr>
          <w:rFonts w:ascii="arial" w:eastAsia="arial" w:hAnsi="arial" w:cs="arial"/>
          <w:b w:val="0"/>
          <w:i w:val="0"/>
          <w:strike w:val="0"/>
          <w:noProof w:val="0"/>
          <w:color w:val="000000"/>
          <w:position w:val="0"/>
          <w:sz w:val="20"/>
          <w:u w:val="none"/>
          <w:vertAlign w:val="baseline"/>
        </w:rPr>
        <w:t xml:space="preserve">In our circuit, it is now settled that the limitations imposed by the FTAIA are not jurisdictional but go to the merits of a Sherman Act claim. </w:t>
      </w:r>
      <w:bookmarkStart w:id="30" w:name="Bookmark_I5M1FVJM28T4J20040000400"/>
      <w:bookmarkEnd w:id="30"/>
      <w:bookmarkStart w:id="31" w:name="Bookmark_I5M1FVJM28T4J20010000400"/>
      <w:bookmarkEnd w:id="31"/>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strike w:val="0"/>
          <w:noProof w:val="0"/>
          <w:color w:val="000000"/>
          <w:position w:val="0"/>
          <w:sz w:val="20"/>
          <w:u w:val="none"/>
          <w:vertAlign w:val="baseline"/>
        </w:rPr>
        <w:t>, 778 F.3d at 751</w:t>
      </w:r>
      <w:r>
        <w:rPr>
          <w:rFonts w:ascii="arial" w:eastAsia="arial" w:hAnsi="arial" w:cs="arial"/>
          <w:b w:val="0"/>
          <w:i w:val="0"/>
          <w:strike w:val="0"/>
          <w:noProof w:val="0"/>
          <w:color w:val="000000"/>
          <w:position w:val="0"/>
          <w:sz w:val="20"/>
          <w:u w:val="none"/>
          <w:vertAlign w:val="baseline"/>
        </w:rPr>
        <w:t xml:space="preserve">. </w:t>
      </w:r>
      <w:bookmarkStart w:id="32" w:name="Bookmark_I5M1FVJM2N1RFT0010000400"/>
      <w:bookmarkEnd w:id="32"/>
      <w:r>
        <w:rPr>
          <w:rFonts w:ascii="arial" w:eastAsia="arial" w:hAnsi="arial" w:cs="arial"/>
          <w:b w:val="0"/>
          <w:i w:val="0"/>
          <w:strike w:val="0"/>
          <w:noProof w:val="0"/>
          <w:color w:val="000000"/>
          <w:position w:val="0"/>
          <w:sz w:val="20"/>
          <w:u w:val="none"/>
          <w:vertAlign w:val="baseline"/>
        </w:rPr>
        <w:t xml:space="preserve">The FTAIA "boils down to two principles."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"Import trade or import commerce" with foreign nations falls squarely within the scope of the Sherman Act and is excluded from the FTAIA altogether. </w:t>
      </w:r>
      <w:bookmarkStart w:id="33" w:name="Bookmark_I5M1FVJM2N1RFT0010000400_2"/>
      <w:bookmarkEnd w:id="33"/>
      <w:bookmarkStart w:id="34" w:name="Bookmark_I5M1FVJM28T4J20040000400_2"/>
      <w:bookmarkEnd w:id="3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"Nonimport trade or commerce with foreign nations," on the other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hand, is subject to the FTAIA and is not governed by the Sherman Act unless it meets the "domestic effects exception." </w:t>
      </w:r>
      <w:bookmarkStart w:id="35" w:name="Bookmark_I5M1FVJM28T4J20030000400"/>
      <w:bookmarkEnd w:id="3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756</w:t>
      </w:r>
      <w:r>
        <w:rPr>
          <w:rFonts w:ascii="arial" w:eastAsia="arial" w:hAnsi="arial" w:cs="arial"/>
          <w:b w:val="0"/>
          <w:i w:val="0"/>
          <w:strike w:val="0"/>
          <w:noProof w:val="0"/>
          <w:color w:val="000000"/>
          <w:position w:val="0"/>
          <w:sz w:val="20"/>
          <w:u w:val="none"/>
          <w:vertAlign w:val="baseline"/>
        </w:rPr>
        <w:t xml:space="preserve">. To meet the exception, (1) the conduct must have had a "direct, substantial and reasonably foreseeable effect" on U.S. domestic commerce, and (2) such U.S. domestic effect must "give[] rise to" a Sherman Act claim. </w:t>
      </w:r>
      <w:hyperlink r:id="rId12" w:history="1">
        <w:r>
          <w:rPr>
            <w:rFonts w:ascii="arial" w:eastAsia="arial" w:hAnsi="arial" w:cs="arial"/>
            <w:b w:val="0"/>
            <w:i/>
            <w:strike w:val="0"/>
            <w:noProof w:val="0"/>
            <w:color w:val="0077CC"/>
            <w:position w:val="0"/>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 w:name="Bookmark_I5M1FVJM28T4J20050000400"/>
      <w:bookmarkEnd w:id="36"/>
      <w:r>
        <w:rPr>
          <w:rFonts w:ascii="arial" w:eastAsia="arial" w:hAnsi="arial" w:cs="arial"/>
          <w:b w:val="0"/>
          <w:i/>
          <w:strike w:val="0"/>
          <w:noProof w:val="0"/>
          <w:color w:val="000000"/>
          <w:position w:val="0"/>
          <w:sz w:val="20"/>
          <w:u w:val="none"/>
          <w:vertAlign w:val="baseline"/>
        </w:rPr>
        <w:t xml:space="preserve">In re Dynamic Random Access Memory (DRAM)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strike w:val="0"/>
          <w:noProof w:val="0"/>
          <w:color w:val="000000"/>
          <w:position w:val="0"/>
          <w:sz w:val="20"/>
          <w:u w:val="none"/>
          <w:vertAlign w:val="baseline"/>
        </w:rPr>
        <w:t>, 546 F.3d 981, 985-86 (9th Cir. 2008)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DPPS' AND FLEXTRONICS' ALLEGATIONS</w:t>
      </w:r>
    </w:p>
    <w:p>
      <w:pPr>
        <w:keepNext w:val="0"/>
        <w:widowControl w:val="0"/>
        <w:spacing w:before="200" w:after="0" w:line="260" w:lineRule="atLeast"/>
        <w:ind w:left="0" w:right="0" w:firstLine="0"/>
        <w:jc w:val="both"/>
      </w:pPr>
      <w:bookmarkStart w:id="37" w:name="Bookmark_para_12"/>
      <w:bookmarkEnd w:id="37"/>
      <w:r>
        <w:rPr>
          <w:rFonts w:ascii="arial" w:eastAsia="arial" w:hAnsi="arial" w:cs="arial"/>
          <w:b w:val="0"/>
          <w:i w:val="0"/>
          <w:strike w:val="0"/>
          <w:noProof w:val="0"/>
          <w:color w:val="000000"/>
          <w:position w:val="0"/>
          <w:sz w:val="20"/>
          <w:u w:val="none"/>
          <w:vertAlign w:val="baseline"/>
        </w:rPr>
        <w:t>The parties' main dispute under the FTAIA for the direct purchasers' allegations are the scope of commerce that constitutes "import trade or import commerce," and the scope of nonimport trade or commerce that satisfies the domestic effects exception (and the second prong of that exception in particular). The Court resolves these disputes by category of transaction.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Capacitors Billed To Entities In The U.S.</w:t>
      </w:r>
    </w:p>
    <w:p>
      <w:pPr>
        <w:keepNext w:val="0"/>
        <w:widowControl w:val="0"/>
        <w:spacing w:before="200" w:after="0" w:line="260" w:lineRule="atLeast"/>
        <w:ind w:left="0" w:right="0" w:firstLine="0"/>
        <w:jc w:val="both"/>
      </w:pPr>
      <w:bookmarkStart w:id="38" w:name="Bookmark_para_13"/>
      <w:bookmarkEnd w:id="38"/>
      <w:r>
        <w:rPr>
          <w:rFonts w:ascii="arial" w:eastAsia="arial" w:hAnsi="arial" w:cs="arial"/>
          <w:b w:val="0"/>
          <w:i w:val="0"/>
          <w:strike w:val="0"/>
          <w:noProof w:val="0"/>
          <w:color w:val="000000"/>
          <w:position w:val="0"/>
          <w:sz w:val="20"/>
          <w:u w:val="none"/>
          <w:vertAlign w:val="baseline"/>
        </w:rPr>
        <w:t xml:space="preserve">The parties agree that capacitor sales billed to entities in the United States are not excluded by the FTAIA regardless of where the products were ultimately delivered.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Dkt. No. 915 at 4 (defendants' request for an order "limiting the sales at issue in the instant action to sales invoiced directly to U.S.-located customers as reflected in Defendants' transaction data"). These transactions are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within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Capacitors Billed To Foreign Entities But Shipped To The U.S. -- Scope Of "Import Trade Or Commerce"</w:t>
      </w:r>
    </w:p>
    <w:p>
      <w:pPr>
        <w:keepNext w:val="0"/>
        <w:widowControl w:val="0"/>
        <w:spacing w:before="200" w:after="0" w:line="260" w:lineRule="atLeast"/>
        <w:ind w:left="0" w:right="0" w:firstLine="0"/>
        <w:jc w:val="both"/>
      </w:pPr>
      <w:bookmarkStart w:id="39" w:name="Bookmark_para_14"/>
      <w:bookmarkEnd w:id="39"/>
      <w:r>
        <w:rPr>
          <w:rFonts w:ascii="arial" w:eastAsia="arial" w:hAnsi="arial" w:cs="arial"/>
          <w:b w:val="0"/>
          <w:i w:val="0"/>
          <w:strike w:val="0"/>
          <w:noProof w:val="0"/>
          <w:color w:val="000000"/>
          <w:position w:val="0"/>
          <w:sz w:val="20"/>
          <w:u w:val="none"/>
          <w:vertAlign w:val="baseline"/>
        </w:rPr>
        <w:t xml:space="preserve">The parties disagree about capacitors billed to foreign entities but which defendants shipped to the United States. </w:t>
      </w:r>
      <w:bookmarkStart w:id="40" w:name="Bookmark_I5M1FVJM2N1RFT0030000400"/>
      <w:bookmarkEnd w:id="40"/>
      <w:r>
        <w:rPr>
          <w:rFonts w:ascii="arial" w:eastAsia="arial" w:hAnsi="arial" w:cs="arial"/>
          <w:b w:val="0"/>
          <w:i w:val="0"/>
          <w:strike w:val="0"/>
          <w:noProof w:val="0"/>
          <w:color w:val="000000"/>
          <w:position w:val="0"/>
          <w:sz w:val="20"/>
          <w:u w:val="none"/>
          <w:vertAlign w:val="baseline"/>
        </w:rPr>
        <w:t xml:space="preserve">Dkt. No. 967-5 at 5-13; Dkt. No. 983-5. This category of transactions presents the question of what constitutes import trade or commerce. Plaintiffs take the position that "[t]he capacitors that defendants shipped to U.S. entities are import commerce," Dkt. No. 967-5 at 5, and fall "within the Sherman Act without further clarification or pleading." </w:t>
      </w:r>
      <w:bookmarkStart w:id="41" w:name="Bookmark_I5M1FVJM2N1RFT0020000400"/>
      <w:bookmarkEnd w:id="41"/>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strike w:val="0"/>
          <w:noProof w:val="0"/>
          <w:color w:val="000000"/>
          <w:position w:val="0"/>
          <w:sz w:val="20"/>
          <w:u w:val="none"/>
          <w:vertAlign w:val="baseline"/>
        </w:rPr>
        <w:t>, 778 F.3d at 754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15"/>
      <w:bookmarkEnd w:id="42"/>
      <w:bookmarkStart w:id="43" w:name="Bookmark_I63MVVKXW39000YM09N00011"/>
      <w:bookmarkEnd w:id="43"/>
      <w:bookmarkStart w:id="44" w:name="Bookmark_I5M1FVJM2N1RFT0050000400"/>
      <w:bookmarkEnd w:id="44"/>
      <w:bookmarkStart w:id="45" w:name="Bookmark_I5M1FVJM2SF89K0020000400"/>
      <w:bookmarkEnd w:id="45"/>
      <w:r>
        <w:rPr>
          <w:rFonts w:ascii="arial" w:eastAsia="arial" w:hAnsi="arial" w:cs="arial"/>
          <w:b w:val="0"/>
          <w:i w:val="0"/>
          <w:strike w:val="0"/>
          <w:noProof w:val="0"/>
          <w:color w:val="000000"/>
          <w:position w:val="0"/>
          <w:sz w:val="20"/>
          <w:u w:val="none"/>
          <w:vertAlign w:val="baseline"/>
        </w:rPr>
        <w:t xml:space="preserve">While "our circuit has not defined 'import trade' for purposes of the FTAIA," it has held that "not much imagination is required to say that this phrase means precisely what it says." </w:t>
      </w:r>
      <w:bookmarkStart w:id="46" w:name="Bookmark_I5M1FVJM2N1RFT0040000400"/>
      <w:bookmarkEnd w:id="46"/>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strike w:val="0"/>
          <w:noProof w:val="0"/>
          <w:color w:val="000000"/>
          <w:position w:val="0"/>
          <w:sz w:val="20"/>
          <w:u w:val="none"/>
          <w:vertAlign w:val="baseline"/>
        </w:rPr>
        <w:t>, 778 F.3d at 754-55</w:t>
      </w:r>
      <w:r>
        <w:rPr>
          <w:rFonts w:ascii="arial" w:eastAsia="arial" w:hAnsi="arial" w:cs="arial"/>
          <w:b w:val="0"/>
          <w:i w:val="0"/>
          <w:strike w:val="0"/>
          <w:noProof w:val="0"/>
          <w:color w:val="000000"/>
          <w:position w:val="0"/>
          <w:sz w:val="20"/>
          <w:u w:val="none"/>
          <w:vertAlign w:val="baseline"/>
        </w:rPr>
        <w:t xml:space="preserve">. The Ninth Circuit readily found in </w:t>
      </w:r>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val="0"/>
          <w:strike w:val="0"/>
          <w:noProof w:val="0"/>
          <w:color w:val="000000"/>
          <w:position w:val="0"/>
          <w:sz w:val="20"/>
          <w:u w:val="none"/>
          <w:vertAlign w:val="baseline"/>
        </w:rPr>
        <w:t xml:space="preserve"> that "transactions between the foreign defendant producers of TFT-LCDs and purchasers located in the United States" were import trade because the defendants had "sold" TFT-LCD panels to customers in the United States. </w:t>
      </w:r>
      <w:bookmarkStart w:id="47" w:name="Bookmark_I5M1FVJM2SF89K0010000400"/>
      <w:bookmarkEnd w:id="4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756</w:t>
      </w:r>
      <w:r>
        <w:rPr>
          <w:rFonts w:ascii="arial" w:eastAsia="arial" w:hAnsi="arial" w:cs="arial"/>
          <w:b w:val="0"/>
          <w:i w:val="0"/>
          <w:strike w:val="0"/>
          <w:noProof w:val="0"/>
          <w:color w:val="000000"/>
          <w:position w:val="0"/>
          <w:sz w:val="20"/>
          <w:u w:val="none"/>
          <w:vertAlign w:val="baseline"/>
        </w:rPr>
        <w:t xml:space="preserve"> ("Trial testimony established that AUO imported over one million price-fixed panels per month into the United States. . . . </w:t>
      </w:r>
      <w:r>
        <w:rPr>
          <w:rFonts w:ascii="arial" w:eastAsia="arial" w:hAnsi="arial" w:cs="arial"/>
          <w:b w:val="0"/>
          <w:i w:val="0"/>
          <w:strike w:val="0"/>
          <w:noProof w:val="0"/>
          <w:color w:val="000000"/>
          <w:position w:val="0"/>
          <w:sz w:val="20"/>
          <w:u w:val="none"/>
          <w:vertAlign w:val="baseline"/>
        </w:rPr>
        <w:t>The panels were sold into the United States, falling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squarely within the scope of the Sherman Act."). But </w:t>
      </w:r>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val="0"/>
          <w:strike w:val="0"/>
          <w:noProof w:val="0"/>
          <w:color w:val="000000"/>
          <w:position w:val="0"/>
          <w:sz w:val="20"/>
          <w:u w:val="none"/>
          <w:vertAlign w:val="baseline"/>
        </w:rPr>
        <w:t xml:space="preserve"> does not tackle the issue presented here, where a product was billed to an entity abroad but delivered to the United States.</w:t>
      </w:r>
    </w:p>
    <w:p>
      <w:pPr>
        <w:keepNext w:val="0"/>
        <w:widowControl w:val="0"/>
        <w:spacing w:before="200" w:after="0" w:line="260" w:lineRule="atLeast"/>
        <w:ind w:left="0" w:right="0" w:firstLine="0"/>
        <w:jc w:val="both"/>
      </w:pPr>
      <w:bookmarkStart w:id="48" w:name="Bookmark_para_16"/>
      <w:bookmarkEnd w:id="48"/>
      <w:bookmarkStart w:id="49" w:name="Bookmark_I5M1FVJM2SF89K0040000400"/>
      <w:bookmarkEnd w:id="49"/>
      <w:r>
        <w:rPr>
          <w:rFonts w:ascii="arial" w:eastAsia="arial" w:hAnsi="arial" w:cs="arial"/>
          <w:b w:val="0"/>
          <w:i w:val="0"/>
          <w:strike w:val="0"/>
          <w:noProof w:val="0"/>
          <w:color w:val="000000"/>
          <w:position w:val="0"/>
          <w:sz w:val="20"/>
          <w:u w:val="none"/>
          <w:vertAlign w:val="baseline"/>
        </w:rPr>
        <w:t xml:space="preserve">Other courts have expressly addressed this situation. </w:t>
      </w:r>
      <w:bookmarkStart w:id="50" w:name="Bookmark_I5M1FVJM2D6NYB0010000400"/>
      <w:bookmarkEnd w:id="5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Animal Science</w:t>
      </w:r>
      <w:r>
        <w:rPr>
          <w:rFonts w:ascii="arial" w:eastAsia="arial" w:hAnsi="arial" w:cs="arial"/>
          <w:b w:val="0"/>
          <w:i w:val="0"/>
          <w:strike w:val="0"/>
          <w:noProof w:val="0"/>
          <w:color w:val="000000"/>
          <w:position w:val="0"/>
          <w:sz w:val="20"/>
          <w:u w:val="none"/>
          <w:vertAlign w:val="baseline"/>
        </w:rPr>
        <w:t xml:space="preserve">, for example, the Third Circuit held that functioning as a physical importer was not a mandatory condition for satisfying the import trade or commerce exception. "Rather, the relevant inquiry is whether the defendants' alleged anticompetitive behavior 'was directed at an import market.'" </w:t>
      </w:r>
      <w:bookmarkStart w:id="51" w:name="Bookmark_I5M1FVJM2SF89K0030000400"/>
      <w:bookmarkEnd w:id="51"/>
      <w:hyperlink r:id="rId13" w:history="1">
        <w:r>
          <w:rPr>
            <w:rFonts w:ascii="arial" w:eastAsia="arial" w:hAnsi="arial" w:cs="arial"/>
            <w:b w:val="0"/>
            <w:i/>
            <w:strike w:val="0"/>
            <w:noProof w:val="0"/>
            <w:color w:val="0077CC"/>
            <w:position w:val="0"/>
            <w:sz w:val="20"/>
            <w:u w:val="single"/>
            <w:vertAlign w:val="baseline"/>
          </w:rPr>
          <w:t>Animal Science</w:t>
        </w:r>
      </w:hyperlink>
      <w:hyperlink r:id="rId13" w:history="1">
        <w:r>
          <w:rPr>
            <w:rFonts w:ascii="arial" w:eastAsia="arial" w:hAnsi="arial" w:cs="arial"/>
            <w:b w:val="0"/>
            <w:i/>
            <w:strike w:val="0"/>
            <w:noProof w:val="0"/>
            <w:color w:val="0077CC"/>
            <w:position w:val="0"/>
            <w:sz w:val="20"/>
            <w:u w:val="single"/>
            <w:vertAlign w:val="baseline"/>
          </w:rPr>
          <w:t>, 654 F.3d at 470</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52" w:name="Bookmark_I5M1FVJM2D6NYB0010000400_2"/>
      <w:bookmarkEnd w:id="52"/>
      <w:r>
        <w:rPr>
          <w:rFonts w:ascii="arial" w:eastAsia="arial" w:hAnsi="arial" w:cs="arial"/>
          <w:b w:val="0"/>
          <w:i w:val="0"/>
          <w:strike w:val="0"/>
          <w:noProof w:val="0"/>
          <w:color w:val="000000"/>
          <w:position w:val="0"/>
          <w:sz w:val="20"/>
          <w:u w:val="none"/>
          <w:vertAlign w:val="baseline"/>
        </w:rPr>
        <w:t xml:space="preserve">The court also found "the delivery location of goods sold by a foreign seller to be relevant to whether that seller's actions were directed at a United States import market," and directed the district court on remand to give weight to well-pled allegations that the defendants in the case had "made direct sales of magnesite for delivery in the United States during the time period of the alleged conspiracy." </w:t>
      </w:r>
      <w:bookmarkStart w:id="53" w:name="Bookmark_I5M1FVJM2SF89K0050000400"/>
      <w:bookmarkEnd w:id="5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471 n.11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4" w:name="Bookmark_I5M1FVJM2D6NYB0020000400"/>
      <w:bookmarkEnd w:id="54"/>
      <w:hyperlink r:id="rId20" w:history="1">
        <w:r>
          <w:rPr>
            <w:rFonts w:ascii="arial" w:eastAsia="arial" w:hAnsi="arial" w:cs="arial"/>
            <w:b w:val="0"/>
            <w:i/>
            <w:strike w:val="0"/>
            <w:noProof w:val="0"/>
            <w:color w:val="0077CC"/>
            <w:position w:val="0"/>
            <w:sz w:val="20"/>
            <w:u w:val="single"/>
            <w:vertAlign w:val="baseline"/>
          </w:rPr>
          <w:t>Fond du Lac Bumper Exchange, Inc. v. Jui Li Enterprise Co., Ltd.</w:t>
        </w:r>
      </w:hyperlink>
      <w:hyperlink r:id="rId20" w:history="1">
        <w:r>
          <w:rPr>
            <w:rFonts w:ascii="arial" w:eastAsia="arial" w:hAnsi="arial" w:cs="arial"/>
            <w:b w:val="0"/>
            <w:i/>
            <w:strike w:val="0"/>
            <w:noProof w:val="0"/>
            <w:color w:val="0077CC"/>
            <w:position w:val="0"/>
            <w:sz w:val="20"/>
            <w:u w:val="single"/>
            <w:vertAlign w:val="baseline"/>
          </w:rPr>
          <w:t>, 795 F. Supp. 2d 847, 850-51 (E.D. Wis. 2011)</w:t>
        </w:r>
      </w:hyperlink>
      <w:r>
        <w:rPr>
          <w:rFonts w:ascii="arial" w:eastAsia="arial" w:hAnsi="arial" w:cs="arial"/>
          <w:b w:val="0"/>
          <w:i w:val="0"/>
          <w:strike w:val="0"/>
          <w:noProof w:val="0"/>
          <w:color w:val="000000"/>
          <w:position w:val="0"/>
          <w:sz w:val="20"/>
          <w:u w:val="none"/>
          <w:vertAlign w:val="baseline"/>
        </w:rPr>
        <w:t xml:space="preserve"> (even if defendants "transferred title to the [aftermarket auto] parts to plaintiffs in Taiwan and did not themselves ship the parts into the United States, by allegedly agreeing to fix the prices of parts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be sold in the United States and taking the additional steps" such as delivering "the parts to their ships for transport to the United States" and bringing parts into the United States, "defendants' conduct involved import commerce.").</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63" w:name="Bookmark_para_17"/>
      <w:bookmarkEnd w:id="63"/>
      <w:r>
        <w:rPr>
          <w:rFonts w:ascii="arial" w:eastAsia="arial" w:hAnsi="arial" w:cs="arial"/>
          <w:b w:val="0"/>
          <w:i w:val="0"/>
          <w:strike w:val="0"/>
          <w:noProof w:val="0"/>
          <w:color w:val="000000"/>
          <w:position w:val="0"/>
          <w:sz w:val="20"/>
          <w:u w:val="none"/>
          <w:vertAlign w:val="baseline"/>
        </w:rPr>
        <w:t>Here, the undisputed facts for the transactions in this category are that defendants invoiced capacitor sales to a foreign purchaser but directly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shipped the capacitors to a location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983-5 at 2; Dkt. No. 967-5 at 5-8. Defendants not only knew and intended that the goods would be delivered to the United States, they themselves shipped them here. The complaint alleges import trade directed toward the United States, Dkt. No. 799-4 ¶¶ 8, 9, 13, 212, and plaintiffs have submitted evidence indicating that defendants' alleged conspiracy focused on the U.S. market, evidence defendants do not contest for purposes of this motion. Dkt. No. 1076 at 10. Consequently, the transactions in this category qualify as import trade or commerce.</w:t>
      </w:r>
    </w:p>
    <w:p>
      <w:pPr>
        <w:keepNext w:val="0"/>
        <w:widowControl w:val="0"/>
        <w:spacing w:before="200" w:after="0" w:line="260" w:lineRule="atLeast"/>
        <w:ind w:left="0" w:right="0" w:firstLine="0"/>
        <w:jc w:val="both"/>
      </w:pPr>
      <w:bookmarkStart w:id="64" w:name="Bookmark_para_18"/>
      <w:bookmarkEnd w:id="64"/>
      <w:bookmarkStart w:id="65" w:name="Bookmark_I5M1FVJM2N1RFV0010000400"/>
      <w:bookmarkEnd w:id="65"/>
      <w:bookmarkStart w:id="66" w:name="Bookmark_I5M1FVJM2N1RFV0030000400"/>
      <w:bookmarkEnd w:id="66"/>
      <w:bookmarkStart w:id="67" w:name="Bookmark_I5M1FVJM28T4J30020000400"/>
      <w:bookmarkEnd w:id="67"/>
      <w:r>
        <w:rPr>
          <w:rFonts w:ascii="arial" w:eastAsia="arial" w:hAnsi="arial" w:cs="arial"/>
          <w:b w:val="0"/>
          <w:i w:val="0"/>
          <w:strike w:val="0"/>
          <w:noProof w:val="0"/>
          <w:color w:val="000000"/>
          <w:position w:val="0"/>
          <w:sz w:val="20"/>
          <w:u w:val="none"/>
          <w:vertAlign w:val="baseline"/>
        </w:rPr>
        <w:t xml:space="preserve">This holding is consonant with </w:t>
      </w:r>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val="0"/>
          <w:strike w:val="0"/>
          <w:noProof w:val="0"/>
          <w:color w:val="000000"/>
          <w:position w:val="0"/>
          <w:sz w:val="20"/>
          <w:u w:val="none"/>
          <w:vertAlign w:val="baseline"/>
        </w:rPr>
        <w:t xml:space="preserve">. Our circuit declined to "determine the outer bounds of import trade," but it did expressly take note of the Third Circuit's test that "the import trade exclusion . . . applies to importers and to defendants whose 'conduct is directed at a U.S. import market,' even if the defendants did not engage in importation of products into the United States." </w:t>
      </w:r>
      <w:bookmarkStart w:id="68" w:name="Bookmark_I5M1FVJM2HM6MF0050000400"/>
      <w:bookmarkEnd w:id="68"/>
      <w:r>
        <w:rPr>
          <w:rFonts w:ascii="arial" w:eastAsia="arial" w:hAnsi="arial" w:cs="arial"/>
          <w:b w:val="0"/>
          <w:i/>
          <w:strike w:val="0"/>
          <w:noProof w:val="0"/>
          <w:color w:val="000000"/>
          <w:position w:val="0"/>
          <w:sz w:val="20"/>
          <w:u w:val="none"/>
          <w:vertAlign w:val="baseline"/>
        </w:rPr>
        <w:t>778 F.3d at 755 n.8</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val="0"/>
          <w:strike w:val="0"/>
          <w:noProof w:val="0"/>
          <w:color w:val="000000"/>
          <w:position w:val="0"/>
          <w:sz w:val="20"/>
          <w:u w:val="none"/>
          <w:vertAlign w:val="baseline"/>
        </w:rPr>
        <w:t xml:space="preserve"> also held that "[t]argeting is not a legal element for import trade under the Sherman Act," there is no question that the court considered those kinds of allegations to be relevant to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import trade analysis, as it went on to note that "[i]n any event, the negotiations in the United States and the significant direct sales to the United States certainly qualify as targeting." </w:t>
      </w:r>
      <w:bookmarkStart w:id="69" w:name="Bookmark_I5M1FVJM2N1RFV0020000400"/>
      <w:bookmarkEnd w:id="6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756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0" w:name="Bookmark_I5M1FVJM2N1RFV0040000400"/>
      <w:bookmarkEnd w:id="7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755-56</w:t>
      </w:r>
      <w:r>
        <w:rPr>
          <w:rFonts w:ascii="arial" w:eastAsia="arial" w:hAnsi="arial" w:cs="arial"/>
          <w:b w:val="0"/>
          <w:i w:val="0"/>
          <w:strike w:val="0"/>
          <w:noProof w:val="0"/>
          <w:color w:val="000000"/>
          <w:position w:val="0"/>
          <w:sz w:val="20"/>
          <w:u w:val="none"/>
          <w:vertAlign w:val="baseline"/>
        </w:rPr>
        <w:t xml:space="preserve"> ("These allegations directly describe that the defendants and their coconspirators engaged in import commerce with the United States -- indeed, the conspiracy's intent, as alleged, was to 'suppress and eliminate competition' by fixing the prices for panels that AUO and AUOA sold to manufacturers 'in the United States and elsewhere' for incorporation into retail technology sold to consumers in the United States and elsewhere.").</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73" w:name="Bookmark_para_19"/>
      <w:bookmarkEnd w:id="73"/>
      <w:r>
        <w:rPr>
          <w:rFonts w:ascii="arial" w:eastAsia="arial" w:hAnsi="arial" w:cs="arial"/>
          <w:b w:val="0"/>
          <w:i w:val="0"/>
          <w:strike w:val="0"/>
          <w:noProof w:val="0"/>
          <w:color w:val="000000"/>
          <w:position w:val="0"/>
          <w:sz w:val="20"/>
          <w:u w:val="none"/>
          <w:vertAlign w:val="baseline"/>
        </w:rPr>
        <w:t xml:space="preserve">And harkening back to </w:t>
      </w:r>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val="0"/>
          <w:strike w:val="0"/>
          <w:noProof w:val="0"/>
          <w:color w:val="000000"/>
          <w:position w:val="0"/>
          <w:sz w:val="20"/>
          <w:u w:val="none"/>
          <w:vertAlign w:val="baseline"/>
        </w:rPr>
        <w:t>'s observation that import trade is not always that hard to fathom, the Court notes plaintiffs' proffer of a dictionary definition of "import," which they say means "to bring (as merchandise)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into a place or country from another country." Dkt. No. 967-5 at 5 (citing the Merriam-Webster Dictionary at </w:t>
      </w:r>
      <w:hyperlink r:id="rId21" w:history="1">
        <w:r>
          <w:rPr>
            <w:rFonts w:ascii="arial" w:eastAsia="arial" w:hAnsi="arial" w:cs="arial"/>
            <w:b w:val="0"/>
            <w:i/>
            <w:strike w:val="0"/>
            <w:noProof w:val="0"/>
            <w:color w:val="0077CC"/>
            <w:position w:val="0"/>
            <w:sz w:val="20"/>
            <w:u w:val="single"/>
            <w:vertAlign w:val="baseline"/>
          </w:rPr>
          <w:t>http://www.merriam-webster.com/dictionary/import</w:t>
        </w:r>
      </w:hyperlink>
      <w:r>
        <w:rPr>
          <w:rFonts w:ascii="arial" w:eastAsia="arial" w:hAnsi="arial" w:cs="arial"/>
          <w:b w:val="0"/>
          <w:i w:val="0"/>
          <w:strike w:val="0"/>
          <w:noProof w:val="0"/>
          <w:color w:val="000000"/>
          <w:position w:val="0"/>
          <w:sz w:val="20"/>
          <w:u w:val="none"/>
          <w:vertAlign w:val="baseline"/>
        </w:rPr>
        <w:t xml:space="preserve"> ). This is a straightforward and commonsense definition of "import," and it is difficult to see how directly shipping a product to the United States would not fit within it.</w:t>
      </w:r>
    </w:p>
    <w:p>
      <w:pPr>
        <w:keepNext w:val="0"/>
        <w:widowControl w:val="0"/>
        <w:spacing w:before="200" w:after="0" w:line="260" w:lineRule="atLeast"/>
        <w:ind w:left="0" w:right="0" w:firstLine="0"/>
        <w:jc w:val="both"/>
      </w:pPr>
      <w:bookmarkStart w:id="74" w:name="Bookmark_para_20"/>
      <w:bookmarkEnd w:id="74"/>
      <w:r>
        <w:rPr>
          <w:rFonts w:ascii="arial" w:eastAsia="arial" w:hAnsi="arial" w:cs="arial"/>
          <w:b w:val="0"/>
          <w:i w:val="0"/>
          <w:strike w:val="0"/>
          <w:noProof w:val="0"/>
          <w:color w:val="000000"/>
          <w:position w:val="0"/>
          <w:sz w:val="20"/>
          <w:u w:val="none"/>
          <w:vertAlign w:val="baseline"/>
        </w:rPr>
        <w:t>Defendants do not offer a meaningful rebuttal to any of these points. Consequently, the Court finds that sales of capacitors by defendants that were invoiced to a foreign purchaser but shipped by a defendant to a location in the United States counts as "import trade or import commerce," is subject to the Sherman Act and is a part of this case.</w:t>
      </w:r>
    </w:p>
    <w:p>
      <w:pPr>
        <w:keepNext w:val="0"/>
        <w:widowControl w:val="0"/>
        <w:spacing w:before="240" w:after="0" w:line="260" w:lineRule="atLeast"/>
        <w:ind w:left="0" w:right="0" w:firstLine="0"/>
        <w:jc w:val="both"/>
      </w:pPr>
      <w:bookmarkStart w:id="75" w:name="Bookmark_para_21"/>
      <w:bookmarkEnd w:id="75"/>
      <w:bookmarkStart w:id="76" w:name="Bookmark_I5M1FVJM28T4J30040000400"/>
      <w:bookmarkEnd w:id="76"/>
      <w:r>
        <w:rPr>
          <w:rFonts w:ascii="arial" w:eastAsia="arial" w:hAnsi="arial" w:cs="arial"/>
          <w:b w:val="0"/>
          <w:i w:val="0"/>
          <w:strike w:val="0"/>
          <w:noProof w:val="0"/>
          <w:color w:val="000000"/>
          <w:position w:val="0"/>
          <w:sz w:val="20"/>
          <w:u w:val="none"/>
          <w:vertAlign w:val="baseline"/>
        </w:rPr>
        <w:t xml:space="preserve">The Court declines at this time to consider whether the domestic effects exception also applies to this category of trade. Plaintiffs say the exception fits here, Dkt. No. 967-5 at 8-13, and some courts have considered that question even after applying the import exclusion. </w:t>
      </w:r>
      <w:r>
        <w:rPr>
          <w:rFonts w:ascii="arial" w:eastAsia="arial" w:hAnsi="arial" w:cs="arial"/>
          <w:b w:val="0"/>
          <w:i/>
          <w:strike w:val="0"/>
          <w:noProof w:val="0"/>
          <w:color w:val="000000"/>
          <w:position w:val="0"/>
          <w:sz w:val="20"/>
          <w:u w:val="none"/>
          <w:vertAlign w:val="baseline"/>
        </w:rPr>
        <w:t xml:space="preserve">See, e.g., </w:t>
      </w:r>
      <w:bookmarkStart w:id="77" w:name="Bookmark_I5M1FVJM28T4J30030000400"/>
      <w:bookmarkEnd w:id="77"/>
      <w:hyperlink r:id="rId20" w:history="1">
        <w:r>
          <w:rPr>
            <w:rFonts w:ascii="arial" w:eastAsia="arial" w:hAnsi="arial" w:cs="arial"/>
            <w:b w:val="0"/>
            <w:i/>
            <w:strike w:val="0"/>
            <w:noProof w:val="0"/>
            <w:color w:val="0077CC"/>
            <w:position w:val="0"/>
            <w:sz w:val="20"/>
            <w:u w:val="single"/>
            <w:vertAlign w:val="baseline"/>
          </w:rPr>
          <w:t>Fond du Lac</w:t>
        </w:r>
      </w:hyperlink>
      <w:hyperlink r:id="rId20" w:history="1">
        <w:r>
          <w:rPr>
            <w:rFonts w:ascii="arial" w:eastAsia="arial" w:hAnsi="arial" w:cs="arial"/>
            <w:b w:val="0"/>
            <w:i/>
            <w:strike w:val="0"/>
            <w:noProof w:val="0"/>
            <w:color w:val="0077CC"/>
            <w:position w:val="0"/>
            <w:sz w:val="20"/>
            <w:u w:val="single"/>
            <w:vertAlign w:val="baseline"/>
          </w:rPr>
          <w:t>, 795 F. Supp. 2d at 851</w:t>
        </w:r>
      </w:hyperlink>
      <w:r>
        <w:rPr>
          <w:rFonts w:ascii="arial" w:eastAsia="arial" w:hAnsi="arial" w:cs="arial"/>
          <w:b w:val="0"/>
          <w:i w:val="0"/>
          <w:strike w:val="0"/>
          <w:noProof w:val="0"/>
          <w:color w:val="000000"/>
          <w:position w:val="0"/>
          <w:sz w:val="20"/>
          <w:u w:val="none"/>
          <w:vertAlign w:val="baseline"/>
        </w:rPr>
        <w:t>. But the Court's finding on the import trade question makes this additional step unnecessary.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Capacitors Billed And Shipped To A Foreign Entity -- Proximate Cause Under The Domestic Effects Exception</w:t>
      </w:r>
    </w:p>
    <w:p>
      <w:pPr>
        <w:keepNext w:val="0"/>
        <w:widowControl w:val="0"/>
        <w:spacing w:before="200" w:after="0" w:line="260" w:lineRule="atLeast"/>
        <w:ind w:left="0" w:right="0" w:firstLine="0"/>
        <w:jc w:val="both"/>
      </w:pPr>
      <w:bookmarkStart w:id="78" w:name="Bookmark_para_22"/>
      <w:bookmarkEnd w:id="78"/>
      <w:bookmarkStart w:id="79" w:name="Bookmark_I5M1FVJN28T4J40010000400"/>
      <w:bookmarkEnd w:id="79"/>
      <w:r>
        <w:rPr>
          <w:rFonts w:ascii="arial" w:eastAsia="arial" w:hAnsi="arial" w:cs="arial"/>
          <w:b w:val="0"/>
          <w:i w:val="0"/>
          <w:strike w:val="0"/>
          <w:noProof w:val="0"/>
          <w:color w:val="000000"/>
          <w:position w:val="0"/>
          <w:sz w:val="20"/>
          <w:u w:val="none"/>
          <w:vertAlign w:val="baseline"/>
        </w:rPr>
        <w:t>The category of capacitors that were billed and shipped to a foreign entity raises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question of FTAIA's domestic effects exception and its causation requirement. To meet the domestic effects exception and come within the scope of the Sherman Act, the nonimport trade or commerce conduct must have had a "direct, substantial and reasonably foreseeable" effect on U.S. domestic commerce, and this domestic effect must have "given rise to" the Sherman Act claim. </w:t>
      </w:r>
      <w:hyperlink r:id="rId12" w:history="1">
        <w:r>
          <w:rPr>
            <w:rFonts w:ascii="arial" w:eastAsia="arial" w:hAnsi="arial" w:cs="arial"/>
            <w:b w:val="0"/>
            <w:i/>
            <w:strike w:val="0"/>
            <w:noProof w:val="0"/>
            <w:color w:val="0077CC"/>
            <w:position w:val="0"/>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0" w:name="Bookmark_I5M1FVJM28T4J30050000400"/>
      <w:bookmarkEnd w:id="80"/>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strike w:val="0"/>
          <w:noProof w:val="0"/>
          <w:color w:val="000000"/>
          <w:position w:val="0"/>
          <w:sz w:val="20"/>
          <w:u w:val="none"/>
          <w:vertAlign w:val="baseline"/>
        </w:rPr>
        <w:t>, 546 F.3d at 985-86</w:t>
      </w:r>
      <w:r>
        <w:rPr>
          <w:rFonts w:ascii="arial" w:eastAsia="arial" w:hAnsi="arial" w:cs="arial"/>
          <w:b w:val="0"/>
          <w:i w:val="0"/>
          <w:strike w:val="0"/>
          <w:noProof w:val="0"/>
          <w:color w:val="000000"/>
          <w:position w:val="0"/>
          <w:sz w:val="20"/>
          <w:u w:val="none"/>
          <w:vertAlign w:val="baseline"/>
        </w:rPr>
        <w:t>. Defendants focus mainly on the causation element. Dkt. No. 915 at 17-23.</w:t>
      </w:r>
    </w:p>
    <w:p>
      <w:pPr>
        <w:keepNext w:val="0"/>
        <w:widowControl w:val="0"/>
        <w:spacing w:before="200" w:after="0" w:line="260" w:lineRule="atLeast"/>
        <w:ind w:left="0" w:right="0" w:firstLine="0"/>
        <w:jc w:val="both"/>
      </w:pPr>
      <w:bookmarkStart w:id="81" w:name="Bookmark_para_23"/>
      <w:bookmarkEnd w:id="81"/>
      <w:bookmarkStart w:id="82" w:name="Bookmark_I5M1FVJN28T4J40030000400"/>
      <w:bookmarkEnd w:id="82"/>
      <w:r>
        <w:rPr>
          <w:rFonts w:ascii="arial" w:eastAsia="arial" w:hAnsi="arial" w:cs="arial"/>
          <w:b w:val="0"/>
          <w:i w:val="0"/>
          <w:strike w:val="0"/>
          <w:noProof w:val="0"/>
          <w:color w:val="000000"/>
          <w:position w:val="0"/>
          <w:sz w:val="20"/>
          <w:u w:val="none"/>
          <w:vertAlign w:val="baseline"/>
        </w:rPr>
        <w:t>Defendants acknowledge that proximate cause is the applicable test in our circuit, s</w:t>
      </w:r>
      <w:r>
        <w:rPr>
          <w:rFonts w:ascii="arial" w:eastAsia="arial" w:hAnsi="arial" w:cs="arial"/>
          <w:b w:val="0"/>
          <w:i/>
          <w:strike w:val="0"/>
          <w:noProof w:val="0"/>
          <w:color w:val="000000"/>
          <w:position w:val="0"/>
          <w:sz w:val="20"/>
          <w:u w:val="none"/>
          <w:vertAlign w:val="baseline"/>
        </w:rPr>
        <w:t xml:space="preserve">ee </w:t>
      </w:r>
      <w:bookmarkStart w:id="83" w:name="Bookmark_I5M1FVJN28T4J40020000400"/>
      <w:bookmarkEnd w:id="83"/>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strike w:val="0"/>
          <w:noProof w:val="0"/>
          <w:color w:val="000000"/>
          <w:position w:val="0"/>
          <w:sz w:val="20"/>
          <w:u w:val="none"/>
          <w:vertAlign w:val="baseline"/>
        </w:rPr>
        <w:t>, 546 F.3d at 987</w:t>
      </w:r>
      <w:r>
        <w:rPr>
          <w:rFonts w:ascii="arial" w:eastAsia="arial" w:hAnsi="arial" w:cs="arial"/>
          <w:b w:val="0"/>
          <w:i w:val="0"/>
          <w:strike w:val="0"/>
          <w:noProof w:val="0"/>
          <w:color w:val="000000"/>
          <w:position w:val="0"/>
          <w:sz w:val="20"/>
          <w:u w:val="none"/>
          <w:vertAlign w:val="baseline"/>
        </w:rPr>
        <w:t xml:space="preserve">, but go on to strangle it with unreasonable geographic strictures. They say that "[t]here is simply no basis for the DPPs and Flextronics USA to argue that where foreign purchasers pay supra-competitive prices overseas as a result of the alleged conspiracy, those foreign effects are proximately caused by U.S. anticompetitive effects that 'give rise to' the foreign purchaser impact." Dkt. No. 983-5 at 9;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("such transactions cannot, as a matter of law, satisfy the 'gives rise to' requirement of the FTAIA").</w:t>
      </w:r>
    </w:p>
    <w:p>
      <w:pPr>
        <w:keepNext w:val="0"/>
        <w:widowControl w:val="0"/>
        <w:spacing w:before="200" w:after="0" w:line="260" w:lineRule="atLeast"/>
        <w:ind w:left="0" w:right="0" w:firstLine="0"/>
        <w:jc w:val="both"/>
      </w:pPr>
      <w:bookmarkStart w:id="84" w:name="Bookmark_para_24"/>
      <w:bookmarkEnd w:id="84"/>
      <w:r>
        <w:rPr>
          <w:rFonts w:ascii="arial" w:eastAsia="arial" w:hAnsi="arial" w:cs="arial"/>
          <w:b w:val="0"/>
          <w:i w:val="0"/>
          <w:strike w:val="0"/>
          <w:noProof w:val="0"/>
          <w:color w:val="000000"/>
          <w:position w:val="0"/>
          <w:sz w:val="20"/>
          <w:u w:val="none"/>
          <w:vertAlign w:val="baseline"/>
        </w:rPr>
        <w:t>Defendants go too far. The locus of a transaction is not dispositive under the FTAIA. As the District of Columbia Circuit held in rejecting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 similar argument:</w:t>
      </w:r>
    </w:p>
    <w:p>
      <w:pPr>
        <w:keepNext w:val="0"/>
        <w:widowControl w:val="0"/>
        <w:spacing w:before="200" w:after="0" w:line="260" w:lineRule="atLeast"/>
        <w:ind w:left="400" w:right="0" w:firstLine="0"/>
        <w:jc w:val="both"/>
      </w:pPr>
      <w:bookmarkStart w:id="85" w:name="Bookmark_para_25"/>
      <w:bookmarkEnd w:id="85"/>
      <w:r>
        <w:rPr>
          <w:rFonts w:ascii="arial" w:eastAsia="arial" w:hAnsi="arial" w:cs="arial"/>
          <w:b w:val="0"/>
          <w:i w:val="0"/>
          <w:strike w:val="0"/>
          <w:noProof w:val="0"/>
          <w:color w:val="000000"/>
          <w:position w:val="0"/>
          <w:sz w:val="20"/>
          <w:u w:val="none"/>
          <w:vertAlign w:val="baseline"/>
        </w:rPr>
        <w:t xml:space="preserve">The appellees suggest that the exception applies only to injuries that arise in U.S. commerce, thus describing its reach by the situs of the transaction and resulting injuries rather than by the situs of the effects of the allegedly anti-competitive conduct giving rise to the appellants' claims. </w:t>
      </w:r>
      <w:bookmarkStart w:id="86" w:name="Bookmark_I5M1FVJN28T4J40050000400"/>
      <w:bookmarkEnd w:id="86"/>
      <w:r>
        <w:rPr>
          <w:rFonts w:ascii="arial" w:eastAsia="arial" w:hAnsi="arial" w:cs="arial"/>
          <w:b w:val="0"/>
          <w:i w:val="0"/>
          <w:strike w:val="0"/>
          <w:noProof w:val="0"/>
          <w:color w:val="000000"/>
          <w:position w:val="0"/>
          <w:sz w:val="20"/>
          <w:u w:val="none"/>
          <w:vertAlign w:val="baseline"/>
        </w:rPr>
        <w:t xml:space="preserve">This interpretation has no support from the text of the statute, which expressly covers conduct involving "trade or commerce with foreign nations." </w:t>
      </w:r>
      <w:hyperlink r:id="rId12" w:history="1">
        <w:r>
          <w:rPr>
            <w:rFonts w:ascii="arial" w:eastAsia="arial" w:hAnsi="arial" w:cs="arial"/>
            <w:b w:val="0"/>
            <w:i/>
            <w:strike w:val="0"/>
            <w:noProof w:val="0"/>
            <w:color w:val="0077CC"/>
            <w:position w:val="0"/>
            <w:sz w:val="20"/>
            <w:u w:val="single"/>
            <w:vertAlign w:val="baseline"/>
          </w:rPr>
          <w:t>15 U.S.C. § 6a(1)(A)</w:t>
        </w:r>
      </w:hyperlink>
      <w:r>
        <w:rPr>
          <w:rFonts w:ascii="arial" w:eastAsia="arial" w:hAnsi="arial" w:cs="arial"/>
          <w:b w:val="0"/>
          <w:i w:val="0"/>
          <w:strike w:val="0"/>
          <w:noProof w:val="0"/>
          <w:color w:val="000000"/>
          <w:position w:val="0"/>
          <w:sz w:val="20"/>
          <w:u w:val="none"/>
          <w:vertAlign w:val="baseline"/>
        </w:rPr>
        <w:t xml:space="preserve">. In addition, the legislative history makes clear that </w:t>
      </w:r>
      <w:r>
        <w:rPr>
          <w:rFonts w:ascii="arial" w:eastAsia="arial" w:hAnsi="arial" w:cs="arial"/>
          <w:b/>
          <w:i/>
          <w:strike w:val="0"/>
          <w:noProof w:val="0"/>
          <w:color w:val="000000"/>
          <w:position w:val="0"/>
          <w:sz w:val="20"/>
          <w:u w:val="none"/>
          <w:vertAlign w:val="baseline"/>
        </w:rPr>
        <w:t xml:space="preserve">the FTAIA's "domestic effects" requirement "does not exclude all persons injured abroad from recovering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laws of the United States</w:t>
      </w:r>
      <w:r>
        <w:rPr>
          <w:rFonts w:ascii="arial" w:eastAsia="arial" w:hAnsi="arial" w:cs="arial"/>
          <w:b w:val="0"/>
          <w:i w:val="0"/>
          <w:strike w:val="0"/>
          <w:noProof w:val="0"/>
          <w:color w:val="000000"/>
          <w:position w:val="0"/>
          <w:sz w:val="20"/>
          <w:u w:val="none"/>
          <w:vertAlign w:val="baseline"/>
        </w:rPr>
        <w:t>." H.R.Rep. No. 97-686, at 17a. The appellants need only demonstrate therefore that the U.S. effects of the appellees' allegedly anti-competitive conduct "g[a]ve rise to" their claims.</w:t>
      </w:r>
    </w:p>
    <w:p>
      <w:pPr>
        <w:keepNext w:val="0"/>
        <w:widowControl w:val="0"/>
        <w:spacing w:before="200" w:after="0" w:line="260" w:lineRule="atLeast"/>
        <w:ind w:left="0" w:right="0" w:firstLine="0"/>
        <w:jc w:val="both"/>
      </w:pPr>
      <w:bookmarkStart w:id="87" w:name="Bookmark_I5M1FVJN28T4J40050000400_2"/>
      <w:bookmarkEnd w:id="87"/>
      <w:bookmarkStart w:id="88" w:name="Bookmark_I5M1FVJN28T4J40040000400"/>
      <w:bookmarkEnd w:id="88"/>
      <w:hyperlink r:id="rId22" w:history="1">
        <w:r>
          <w:rPr>
            <w:rFonts w:ascii="arial" w:eastAsia="arial" w:hAnsi="arial" w:cs="arial"/>
            <w:b w:val="0"/>
            <w:i/>
            <w:strike w:val="0"/>
            <w:color w:val="0077CC"/>
            <w:sz w:val="20"/>
            <w:u w:val="single"/>
            <w:vertAlign w:val="baseline"/>
          </w:rPr>
          <w:t>Empagran S.A. v. F. Hoffmann-Laroche, Ltd.</w:t>
        </w:r>
      </w:hyperlink>
      <w:hyperlink r:id="rId22" w:history="1">
        <w:r>
          <w:rPr>
            <w:rFonts w:ascii="arial" w:eastAsia="arial" w:hAnsi="arial" w:cs="arial"/>
            <w:b w:val="0"/>
            <w:i/>
            <w:strike w:val="0"/>
            <w:color w:val="0077CC"/>
            <w:sz w:val="20"/>
            <w:u w:val="single"/>
            <w:vertAlign w:val="baseline"/>
          </w:rPr>
          <w:t>, 417 F.3d 1267, 1269, 368 U.S. App. D.C. 18 (D.C.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Empagran II</w:t>
      </w:r>
      <w:r>
        <w:rPr>
          <w:rFonts w:ascii="arial" w:eastAsia="arial" w:hAnsi="arial" w:cs="arial"/>
          <w:b w:val="0"/>
          <w:i w:val="0"/>
          <w:strike w:val="0"/>
          <w:noProof w:val="0"/>
          <w:color w:val="000000"/>
          <w:position w:val="0"/>
          <w:sz w:val="20"/>
          <w:u w:val="none"/>
          <w:vertAlign w:val="baseline"/>
        </w:rPr>
        <w:t>") (emphasis added). The FTAIA does not state or support a per se rule excluding foreign purchasers just because they did their buying abroad.</w:t>
      </w:r>
    </w:p>
    <w:p>
      <w:pPr>
        <w:keepNext w:val="0"/>
        <w:widowControl w:val="0"/>
        <w:spacing w:before="240" w:after="0" w:line="260" w:lineRule="atLeast"/>
        <w:ind w:left="0" w:right="0" w:firstLine="0"/>
        <w:jc w:val="both"/>
      </w:pPr>
      <w:bookmarkStart w:id="89" w:name="Bookmark_para_26"/>
      <w:bookmarkEnd w:id="89"/>
      <w:bookmarkStart w:id="90" w:name="Bookmark_I63MVVKY0XF000YM09N00012"/>
      <w:bookmarkEnd w:id="90"/>
      <w:bookmarkStart w:id="91" w:name="Bookmark_I5M1FVJN2D6NYC0020000400"/>
      <w:bookmarkEnd w:id="91"/>
      <w:r>
        <w:rPr>
          <w:rFonts w:ascii="arial" w:eastAsia="arial" w:hAnsi="arial" w:cs="arial"/>
          <w:b w:val="0"/>
          <w:i w:val="0"/>
          <w:strike w:val="0"/>
          <w:noProof w:val="0"/>
          <w:color w:val="000000"/>
          <w:position w:val="0"/>
          <w:sz w:val="20"/>
          <w:u w:val="none"/>
          <w:vertAlign w:val="baseline"/>
        </w:rPr>
        <w:t xml:space="preserve">The cases defendants rely on do not support a different conclusion. Defendants say that </w:t>
      </w:r>
      <w:r>
        <w:rPr>
          <w:rFonts w:ascii="arial" w:eastAsia="arial" w:hAnsi="arial" w:cs="arial"/>
          <w:b w:val="0"/>
          <w:i/>
          <w:strike w:val="0"/>
          <w:noProof w:val="0"/>
          <w:color w:val="000000"/>
          <w:position w:val="0"/>
          <w:sz w:val="20"/>
          <w:u w:val="none"/>
          <w:vertAlign w:val="baseline"/>
        </w:rPr>
        <w:t>Empagran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"express unambiguously that in price-fixing class actions where foreign purchasers seek damages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arising from direct purchases of a product sold outside the United States by foreign defendants, those purchasers' alleged injuries were caused </w:t>
      </w:r>
      <w:r>
        <w:rPr>
          <w:rFonts w:ascii="arial" w:eastAsia="arial" w:hAnsi="arial" w:cs="arial"/>
          <w:b/>
          <w:i/>
          <w:strike w:val="0"/>
          <w:noProof w:val="0"/>
          <w:color w:val="000000"/>
          <w:position w:val="0"/>
          <w:sz w:val="20"/>
          <w:u w:val="none"/>
          <w:vertAlign w:val="baseline"/>
        </w:rPr>
        <w:t>independently</w:t>
      </w:r>
      <w:r>
        <w:rPr>
          <w:rFonts w:ascii="arial" w:eastAsia="arial" w:hAnsi="arial" w:cs="arial"/>
          <w:b w:val="0"/>
          <w:i w:val="0"/>
          <w:strike w:val="0"/>
          <w:noProof w:val="0"/>
          <w:color w:val="000000"/>
          <w:position w:val="0"/>
          <w:sz w:val="20"/>
          <w:u w:val="none"/>
          <w:vertAlign w:val="baseline"/>
        </w:rPr>
        <w:t xml:space="preserve"> from any effect on U.S. commerce and thus such claims are barred by the FTAIA." Dkt. No. 915 at 18. </w:t>
      </w:r>
      <w:bookmarkStart w:id="92" w:name="Bookmark_I5M1FVJN2D6NYD0010000400"/>
      <w:bookmarkEnd w:id="92"/>
      <w:r>
        <w:rPr>
          <w:rFonts w:ascii="arial" w:eastAsia="arial" w:hAnsi="arial" w:cs="arial"/>
          <w:b w:val="0"/>
          <w:i w:val="0"/>
          <w:strike w:val="0"/>
          <w:noProof w:val="0"/>
          <w:color w:val="000000"/>
          <w:position w:val="0"/>
          <w:sz w:val="20"/>
          <w:u w:val="none"/>
          <w:vertAlign w:val="baseline"/>
        </w:rPr>
        <w:t xml:space="preserve">But these cases do not stand for the proposition defendants urge. In </w:t>
      </w:r>
      <w:r>
        <w:rPr>
          <w:rFonts w:ascii="arial" w:eastAsia="arial" w:hAnsi="arial" w:cs="arial"/>
          <w:b w:val="0"/>
          <w:i/>
          <w:strike w:val="0"/>
          <w:noProof w:val="0"/>
          <w:color w:val="000000"/>
          <w:position w:val="0"/>
          <w:sz w:val="20"/>
          <w:u w:val="none"/>
          <w:vertAlign w:val="baseline"/>
        </w:rPr>
        <w:t>Empagran I</w:t>
      </w:r>
      <w:r>
        <w:rPr>
          <w:rFonts w:ascii="arial" w:eastAsia="arial" w:hAnsi="arial" w:cs="arial"/>
          <w:b w:val="0"/>
          <w:i w:val="0"/>
          <w:strike w:val="0"/>
          <w:noProof w:val="0"/>
          <w:color w:val="000000"/>
          <w:position w:val="0"/>
          <w:sz w:val="20"/>
          <w:u w:val="none"/>
          <w:vertAlign w:val="baseline"/>
        </w:rPr>
        <w:t xml:space="preserve">, it was "assumed that the foreign effect,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higher prices in Ukraine, Panama, Australia, and Ecuador, was independent of the domestic effect,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higher domestic prices." </w:t>
      </w:r>
      <w:bookmarkStart w:id="93" w:name="Bookmark_I5M1FVJN2D6NYC0010000400"/>
      <w:bookmarkEnd w:id="93"/>
      <w:hyperlink r:id="rId14" w:history="1">
        <w:r>
          <w:rPr>
            <w:rFonts w:ascii="arial" w:eastAsia="arial" w:hAnsi="arial" w:cs="arial"/>
            <w:b w:val="0"/>
            <w:i/>
            <w:strike w:val="0"/>
            <w:noProof w:val="0"/>
            <w:color w:val="0077CC"/>
            <w:position w:val="0"/>
            <w:sz w:val="20"/>
            <w:u w:val="single"/>
            <w:vertAlign w:val="baseline"/>
          </w:rPr>
          <w:t>542 U.S. at 160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4" w:name="Bookmark_I5M1FVJN2D6NYC0030000400"/>
      <w:bookmarkEnd w:id="9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164</w:t>
        </w:r>
      </w:hyperlink>
      <w:r>
        <w:rPr>
          <w:rFonts w:ascii="arial" w:eastAsia="arial" w:hAnsi="arial" w:cs="arial"/>
          <w:b w:val="0"/>
          <w:i w:val="0"/>
          <w:strike w:val="0"/>
          <w:noProof w:val="0"/>
          <w:color w:val="000000"/>
          <w:position w:val="0"/>
          <w:sz w:val="20"/>
          <w:u w:val="none"/>
          <w:vertAlign w:val="baseline"/>
        </w:rPr>
        <w:t xml:space="preserve"> ("we reemphasize that we base our decision upon the following: The price-fixing conduct significantly and adversely affects both customers outside the United States and customers within the United States, but the adverse foreign effect is independent of any adverse domestic effect."). </w:t>
      </w:r>
      <w:bookmarkStart w:id="95" w:name="Bookmark_I5M1FVJN2D6NYD0010000400_2"/>
      <w:bookmarkEnd w:id="95"/>
      <w:r>
        <w:rPr>
          <w:rFonts w:ascii="arial" w:eastAsia="arial" w:hAnsi="arial" w:cs="arial"/>
          <w:b w:val="0"/>
          <w:i w:val="0"/>
          <w:strike w:val="0"/>
          <w:noProof w:val="0"/>
          <w:color w:val="000000"/>
          <w:position w:val="0"/>
          <w:sz w:val="20"/>
          <w:u w:val="none"/>
          <w:vertAlign w:val="baseline"/>
        </w:rPr>
        <w:t xml:space="preserve">The Supreme Court declined to address in the first instance the alternative argument "that the foreign injury was not independent," stating that respondents "remain[ed] free to ask the Court of Appeals to consider the claim" on remand. </w:t>
      </w:r>
      <w:bookmarkStart w:id="96" w:name="Bookmark_I5M1FVJN2D6NYD0030000400"/>
      <w:bookmarkEnd w:id="96"/>
      <w:bookmarkStart w:id="97" w:name="Bookmark_I5M1FVJN2D6NYC0050000400"/>
      <w:bookmarkEnd w:id="9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175</w:t>
        </w:r>
      </w:hyperlink>
      <w:r>
        <w:rPr>
          <w:rFonts w:ascii="arial" w:eastAsia="arial" w:hAnsi="arial" w:cs="arial"/>
          <w:b w:val="0"/>
          <w:i w:val="0"/>
          <w:strike w:val="0"/>
          <w:noProof w:val="0"/>
          <w:color w:val="000000"/>
          <w:position w:val="0"/>
          <w:sz w:val="20"/>
          <w:u w:val="none"/>
          <w:vertAlign w:val="baseline"/>
        </w:rPr>
        <w:t xml:space="preserve">. </w:t>
      </w:r>
      <w:bookmarkStart w:id="98" w:name="Bookmark_I5M1FVJN2D6NYD0030000400_2"/>
      <w:bookmarkEnd w:id="98"/>
      <w:r>
        <w:rPr>
          <w:rFonts w:ascii="arial" w:eastAsia="arial" w:hAnsi="arial" w:cs="arial"/>
          <w:b w:val="0"/>
          <w:i w:val="0"/>
          <w:strike w:val="0"/>
          <w:noProof w:val="0"/>
          <w:color w:val="000000"/>
          <w:position w:val="0"/>
          <w:sz w:val="20"/>
          <w:u w:val="none"/>
          <w:vertAlign w:val="baseline"/>
        </w:rPr>
        <w:t>On remand, the Court of Appeals for the District of Columbia Circuit did conclude that there was a lack of proximate cause (such that the second prong of the FTAIA's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domestic effects exception was not met after all), but not simply because appellants were foreign corporations that had purchased vitamin products outside of the United States. </w:t>
      </w:r>
      <w:bookmarkStart w:id="99" w:name="Bookmark_I5M1FVJN2D6NYD0020000400"/>
      <w:bookmarkEnd w:id="99"/>
      <w:hyperlink r:id="rId22" w:history="1">
        <w:r>
          <w:rPr>
            <w:rFonts w:ascii="arial" w:eastAsia="arial" w:hAnsi="arial" w:cs="arial"/>
            <w:b w:val="0"/>
            <w:i/>
            <w:strike w:val="0"/>
            <w:noProof w:val="0"/>
            <w:color w:val="0077CC"/>
            <w:position w:val="0"/>
            <w:sz w:val="20"/>
            <w:u w:val="single"/>
            <w:vertAlign w:val="baseline"/>
          </w:rPr>
          <w:t>Empagran II</w:t>
        </w:r>
      </w:hyperlink>
      <w:hyperlink r:id="rId22" w:history="1">
        <w:r>
          <w:rPr>
            <w:rFonts w:ascii="arial" w:eastAsia="arial" w:hAnsi="arial" w:cs="arial"/>
            <w:b w:val="0"/>
            <w:i/>
            <w:strike w:val="0"/>
            <w:noProof w:val="0"/>
            <w:color w:val="0077CC"/>
            <w:position w:val="0"/>
            <w:sz w:val="20"/>
            <w:u w:val="single"/>
            <w:vertAlign w:val="baseline"/>
          </w:rPr>
          <w:t>, 417 F.3d at 1268-70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27"/>
      <w:bookmarkEnd w:id="100"/>
      <w:bookmarkStart w:id="101" w:name="Bookmark_I63MVVKY4RK000YM09N00013"/>
      <w:bookmarkEnd w:id="101"/>
      <w:bookmarkStart w:id="102" w:name="Bookmark_I5M1FVJN2D6NYD0050000400"/>
      <w:bookmarkEnd w:id="102"/>
      <w:bookmarkStart w:id="103" w:name="Bookmark_I5M1FVJN2HM6MG0020000400"/>
      <w:bookmarkEnd w:id="103"/>
      <w:r>
        <w:rPr>
          <w:rFonts w:ascii="arial" w:eastAsia="arial" w:hAnsi="arial" w:cs="arial"/>
          <w:b w:val="0"/>
          <w:i w:val="0"/>
          <w:strike w:val="0"/>
          <w:noProof w:val="0"/>
          <w:color w:val="000000"/>
          <w:position w:val="0"/>
          <w:sz w:val="20"/>
          <w:u w:val="none"/>
          <w:vertAlign w:val="baseline"/>
        </w:rPr>
        <w:t xml:space="preserve">So, too, in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The plaintiff-appellant was a British corporation that had "purchased DRAM outside of the United States from the defendants, various [computer] memory companies." </w:t>
      </w:r>
      <w:bookmarkStart w:id="104" w:name="Bookmark_I5M1FVJN2D6NYD0040000400"/>
      <w:bookmarkEnd w:id="104"/>
      <w:r>
        <w:rPr>
          <w:rFonts w:ascii="arial" w:eastAsia="arial" w:hAnsi="arial" w:cs="arial"/>
          <w:b w:val="0"/>
          <w:i/>
          <w:strike w:val="0"/>
          <w:noProof w:val="0"/>
          <w:color w:val="000000"/>
          <w:position w:val="0"/>
          <w:sz w:val="20"/>
          <w:u w:val="none"/>
          <w:vertAlign w:val="baseline"/>
        </w:rPr>
        <w:t>546 F.3d at 984</w:t>
      </w:r>
      <w:r>
        <w:rPr>
          <w:rFonts w:ascii="arial" w:eastAsia="arial" w:hAnsi="arial" w:cs="arial"/>
          <w:b w:val="0"/>
          <w:i w:val="0"/>
          <w:strike w:val="0"/>
          <w:noProof w:val="0"/>
          <w:color w:val="000000"/>
          <w:position w:val="0"/>
          <w:sz w:val="20"/>
          <w:u w:val="none"/>
          <w:vertAlign w:val="baseline"/>
        </w:rPr>
        <w:t xml:space="preserve">. </w:t>
      </w:r>
      <w:bookmarkStart w:id="105" w:name="Bookmark_I5M1FVJN2HM6MG0040000400"/>
      <w:bookmarkEnd w:id="105"/>
      <w:r>
        <w:rPr>
          <w:rFonts w:ascii="arial" w:eastAsia="arial" w:hAnsi="arial" w:cs="arial"/>
          <w:b w:val="0"/>
          <w:i w:val="0"/>
          <w:strike w:val="0"/>
          <w:noProof w:val="0"/>
          <w:color w:val="000000"/>
          <w:position w:val="0"/>
          <w:sz w:val="20"/>
          <w:u w:val="none"/>
          <w:vertAlign w:val="baseline"/>
        </w:rPr>
        <w:t xml:space="preserve">The court held that plaintiff "Centerprise has not shown that the higher U.S. prices proximately caused its foreign injury of having to pay higher prices abroad. Other actors or forces may have affected the foreign prices." </w:t>
      </w:r>
      <w:bookmarkStart w:id="106" w:name="Bookmark_I5M1FVJN2HM6MG0010000400"/>
      <w:bookmarkEnd w:id="10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988</w:t>
      </w:r>
      <w:r>
        <w:rPr>
          <w:rFonts w:ascii="arial" w:eastAsia="arial" w:hAnsi="arial" w:cs="arial"/>
          <w:b w:val="0"/>
          <w:i w:val="0"/>
          <w:strike w:val="0"/>
          <w:noProof w:val="0"/>
          <w:color w:val="000000"/>
          <w:position w:val="0"/>
          <w:sz w:val="20"/>
          <w:u w:val="none"/>
          <w:vertAlign w:val="baseline"/>
        </w:rPr>
        <w:t xml:space="preserve">. </w:t>
      </w:r>
      <w:bookmarkStart w:id="107" w:name="Bookmark_I5M1FVJN2HM6MG0040000400_2"/>
      <w:bookmarkEnd w:id="107"/>
      <w:bookmarkStart w:id="108" w:name="Bookmark_I5M1FVJN2HM6MH0010000400"/>
      <w:bookmarkEnd w:id="108"/>
      <w:r>
        <w:rPr>
          <w:rFonts w:ascii="arial" w:eastAsia="arial" w:hAnsi="arial" w:cs="arial"/>
          <w:b w:val="0"/>
          <w:i w:val="0"/>
          <w:strike w:val="0"/>
          <w:noProof w:val="0"/>
          <w:color w:val="000000"/>
          <w:position w:val="0"/>
          <w:sz w:val="20"/>
          <w:u w:val="none"/>
          <w:vertAlign w:val="baseline"/>
        </w:rPr>
        <w:t xml:space="preserve">Significantly, the court found it merely "notabl[e]" that Centerprise was "a foreign consumer that made its purchases entirely outside of the United States." </w:t>
      </w:r>
      <w:bookmarkStart w:id="109" w:name="Bookmark_I5M1FVJN2HM6MG0030000400"/>
      <w:bookmarkEnd w:id="10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989</w:t>
      </w:r>
      <w:r>
        <w:rPr>
          <w:rFonts w:ascii="arial" w:eastAsia="arial" w:hAnsi="arial" w:cs="arial"/>
          <w:b w:val="0"/>
          <w:i w:val="0"/>
          <w:strike w:val="0"/>
          <w:noProof w:val="0"/>
          <w:color w:val="000000"/>
          <w:position w:val="0"/>
          <w:sz w:val="20"/>
          <w:u w:val="none"/>
          <w:vertAlign w:val="baseline"/>
        </w:rPr>
        <w:t xml:space="preserve">. </w:t>
      </w:r>
      <w:bookmarkStart w:id="110" w:name="Bookmark_I5M1FVJN2HM6MH0010000400_2"/>
      <w:bookmarkEnd w:id="110"/>
      <w:r>
        <w:rPr>
          <w:rFonts w:ascii="arial" w:eastAsia="arial" w:hAnsi="arial" w:cs="arial"/>
          <w:b w:val="0"/>
          <w:i w:val="0"/>
          <w:strike w:val="0"/>
          <w:noProof w:val="0"/>
          <w:color w:val="000000"/>
          <w:position w:val="0"/>
          <w:sz w:val="20"/>
          <w:u w:val="none"/>
          <w:vertAlign w:val="baseline"/>
        </w:rPr>
        <w:t xml:space="preserve">This observation did not drive the court's decision. Instead, what the court found was that even "a direct correlation between prices [in the U.S. and prices abroad] does not establish a sufficient causal relationship."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 specifically, the court held that, for the allegation "that the defendants' activities resulted in the U.S. prices setting the worldwide price," plaintiff had "not set forth a theory with any specificity of how this price-setting occurred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or how it shows a direct causal relationship." </w:t>
      </w:r>
      <w:bookmarkStart w:id="111" w:name="Bookmark_I5M1FVJN2HM6MG0050000400"/>
      <w:bookmarkEnd w:id="11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990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28"/>
      <w:bookmarkEnd w:id="112"/>
      <w:r>
        <w:rPr>
          <w:rFonts w:ascii="arial" w:eastAsia="arial" w:hAnsi="arial" w:cs="arial"/>
          <w:b w:val="0"/>
          <w:i w:val="0"/>
          <w:strike w:val="0"/>
          <w:noProof w:val="0"/>
          <w:color w:val="000000"/>
          <w:position w:val="0"/>
          <w:sz w:val="20"/>
          <w:u w:val="none"/>
          <w:vertAlign w:val="baseline"/>
        </w:rPr>
        <w:t>As all of this shows, these cases turned on failures of pleading and proof specific to them. They do not stand for a bright line rule, as defendants contend, that no foreign plaintiff alleging a global conspiracy can ever satisfy the "gives rise to" prong of the FTAIA domestic effects exception.</w:t>
      </w:r>
    </w:p>
    <w:p>
      <w:pPr>
        <w:keepNext w:val="0"/>
        <w:widowControl w:val="0"/>
        <w:spacing w:before="200" w:after="0" w:line="260" w:lineRule="atLeast"/>
        <w:ind w:left="0" w:right="0" w:firstLine="0"/>
        <w:jc w:val="both"/>
      </w:pPr>
      <w:bookmarkStart w:id="113" w:name="Bookmark_para_29"/>
      <w:bookmarkEnd w:id="113"/>
      <w:r>
        <w:rPr>
          <w:rFonts w:ascii="arial" w:eastAsia="arial" w:hAnsi="arial" w:cs="arial"/>
          <w:b w:val="0"/>
          <w:i w:val="0"/>
          <w:strike w:val="0"/>
          <w:noProof w:val="0"/>
          <w:color w:val="000000"/>
          <w:position w:val="0"/>
          <w:sz w:val="20"/>
          <w:u w:val="none"/>
          <w:vertAlign w:val="baseline"/>
        </w:rPr>
        <w:t xml:space="preserve">But this is not to say that plaintiffs' interpretation of proximate cause is significantly better. </w:t>
      </w:r>
      <w:bookmarkStart w:id="114" w:name="Bookmark_I5M1FVJN2HM6MH0030000400"/>
      <w:bookmarkEnd w:id="114"/>
      <w:r>
        <w:rPr>
          <w:rFonts w:ascii="arial" w:eastAsia="arial" w:hAnsi="arial" w:cs="arial"/>
          <w:b w:val="0"/>
          <w:i w:val="0"/>
          <w:strike w:val="0"/>
          <w:noProof w:val="0"/>
          <w:color w:val="000000"/>
          <w:position w:val="0"/>
          <w:sz w:val="20"/>
          <w:u w:val="none"/>
          <w:vertAlign w:val="baseline"/>
        </w:rPr>
        <w:t xml:space="preserve">Plaintiffs argue for a "global pricing" theory of proximate cause based on the idea that "the domestic effects of defendants' conduct gave rise to plaintiffs' claims where defendants made sales to a U.S. corporate family member and to a foreign corporate family member as part of a global pricing system." Dkt. No. 967-5 at 14-17. The problem with this theory is that it is analytically indistinguishable from similar theories that have already failed in court, most critically in the Ninth Circuit. </w:t>
      </w:r>
      <w:r>
        <w:rPr>
          <w:rFonts w:ascii="arial" w:eastAsia="arial" w:hAnsi="arial" w:cs="arial"/>
          <w:b w:val="0"/>
          <w:i/>
          <w:strike w:val="0"/>
          <w:noProof w:val="0"/>
          <w:color w:val="000000"/>
          <w:position w:val="0"/>
          <w:sz w:val="20"/>
          <w:u w:val="none"/>
          <w:vertAlign w:val="baseline"/>
        </w:rPr>
        <w:t xml:space="preserve">See </w:t>
      </w:r>
      <w:bookmarkStart w:id="115" w:name="Bookmark_I5M1FVJN2HM6MH0020000400"/>
      <w:bookmarkEnd w:id="115"/>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strike w:val="0"/>
          <w:noProof w:val="0"/>
          <w:color w:val="000000"/>
          <w:position w:val="0"/>
          <w:sz w:val="20"/>
          <w:u w:val="none"/>
          <w:vertAlign w:val="baseline"/>
        </w:rPr>
        <w:t>, 546 F.3d at 989-90</w:t>
      </w:r>
      <w:r>
        <w:rPr>
          <w:rFonts w:ascii="arial" w:eastAsia="arial" w:hAnsi="arial" w:cs="arial"/>
          <w:b w:val="0"/>
          <w:i w:val="0"/>
          <w:strike w:val="0"/>
          <w:noProof w:val="0"/>
          <w:color w:val="000000"/>
          <w:position w:val="0"/>
          <w:sz w:val="20"/>
          <w:u w:val="none"/>
          <w:vertAlign w:val="baseline"/>
        </w:rPr>
        <w:t xml:space="preserve"> ("Centerprise's complaint suggests that super-competitive DRAM prices in the United States may have facilitated the defendants' scheme to charge super-competitive prices abroad, but it does not sufficiently allege a theory that the higher U.S. prices proximately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caused Centerprise's foreign injury of having to pay higher prices outside the United States," and "[s]imilar arguments were made and rejected in </w:t>
      </w:r>
      <w:r>
        <w:rPr>
          <w:rFonts w:ascii="arial" w:eastAsia="arial" w:hAnsi="arial" w:cs="arial"/>
          <w:b w:val="0"/>
          <w:i/>
          <w:strike w:val="0"/>
          <w:noProof w:val="0"/>
          <w:color w:val="000000"/>
          <w:position w:val="0"/>
          <w:sz w:val="20"/>
          <w:u w:val="none"/>
          <w:vertAlign w:val="baseline"/>
        </w:rPr>
        <w:t>Empagran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 re Monosodium Glutamate</w:t>
      </w:r>
      <w:r>
        <w:rPr>
          <w:rFonts w:ascii="arial" w:eastAsia="arial" w:hAnsi="arial" w:cs="arial"/>
          <w:b w:val="0"/>
          <w:i w:val="0"/>
          <w:strike w:val="0"/>
          <w:noProof w:val="0"/>
          <w:color w:val="000000"/>
          <w:position w:val="0"/>
          <w:sz w:val="20"/>
          <w:u w:val="none"/>
          <w:vertAlign w:val="baseline"/>
        </w:rPr>
        <w:t xml:space="preserve"> -- that there was a single global price kept in equipoise by the maintenance of super-competitive prices in the U.S. market.").</w:t>
      </w:r>
    </w:p>
    <w:p>
      <w:pPr>
        <w:keepNext w:val="0"/>
        <w:widowControl w:val="0"/>
        <w:spacing w:before="240" w:after="0" w:line="260" w:lineRule="atLeast"/>
        <w:ind w:left="0" w:right="0" w:firstLine="0"/>
        <w:jc w:val="both"/>
      </w:pPr>
      <w:bookmarkStart w:id="116" w:name="Bookmark_para_30"/>
      <w:bookmarkEnd w:id="116"/>
      <w:bookmarkStart w:id="117" w:name="Bookmark_I5M1FVJN2HM6MH0050000400"/>
      <w:bookmarkEnd w:id="117"/>
      <w:r>
        <w:rPr>
          <w:rFonts w:ascii="arial" w:eastAsia="arial" w:hAnsi="arial" w:cs="arial"/>
          <w:b w:val="0"/>
          <w:i w:val="0"/>
          <w:strike w:val="0"/>
          <w:noProof w:val="0"/>
          <w:color w:val="000000"/>
          <w:position w:val="0"/>
          <w:sz w:val="20"/>
          <w:u w:val="none"/>
          <w:vertAlign w:val="baseline"/>
        </w:rPr>
        <w:t xml:space="preserve">And as </w:t>
      </w:r>
      <w:r>
        <w:rPr>
          <w:rFonts w:ascii="arial" w:eastAsia="arial" w:hAnsi="arial" w:cs="arial"/>
          <w:b w:val="0"/>
          <w:i/>
          <w:strike w:val="0"/>
          <w:noProof w:val="0"/>
          <w:color w:val="000000"/>
          <w:position w:val="0"/>
          <w:sz w:val="20"/>
          <w:u w:val="none"/>
          <w:vertAlign w:val="baseline"/>
        </w:rPr>
        <w:t>Empagran II</w:t>
      </w:r>
      <w:r>
        <w:rPr>
          <w:rFonts w:ascii="arial" w:eastAsia="arial" w:hAnsi="arial" w:cs="arial"/>
          <w:b w:val="0"/>
          <w:i w:val="0"/>
          <w:strike w:val="0"/>
          <w:noProof w:val="0"/>
          <w:color w:val="000000"/>
          <w:position w:val="0"/>
          <w:sz w:val="20"/>
          <w:u w:val="none"/>
          <w:vertAlign w:val="baseline"/>
        </w:rPr>
        <w:t xml:space="preserve"> found, "[w]hile maintaining super-competitive prices in the United States may have facilitated the appellees' scheme to charge comparable prices abroad, this fact demonstrates at most but-for causation. It does not establish . . . that the U.S. effects of the appellees' conduct -- i.e., increased prices in the United States -- proximately caused the foreign appellants' injuries." </w:t>
      </w:r>
      <w:bookmarkStart w:id="118" w:name="Bookmark_I5M1FVJN2HM6MH0040000400"/>
      <w:bookmarkEnd w:id="118"/>
      <w:hyperlink r:id="rId22" w:history="1">
        <w:r>
          <w:rPr>
            <w:rFonts w:ascii="arial" w:eastAsia="arial" w:hAnsi="arial" w:cs="arial"/>
            <w:b w:val="0"/>
            <w:i/>
            <w:strike w:val="0"/>
            <w:noProof w:val="0"/>
            <w:color w:val="0077CC"/>
            <w:position w:val="0"/>
            <w:sz w:val="20"/>
            <w:u w:val="single"/>
            <w:vertAlign w:val="baseline"/>
          </w:rPr>
          <w:t>417 F.3d at 1271</w:t>
        </w:r>
      </w:hyperlink>
      <w:r>
        <w:rPr>
          <w:rFonts w:ascii="arial" w:eastAsia="arial" w:hAnsi="arial" w:cs="arial"/>
          <w:b w:val="0"/>
          <w:i w:val="0"/>
          <w:strike w:val="0"/>
          <w:noProof w:val="0"/>
          <w:color w:val="000000"/>
          <w:position w:val="0"/>
          <w:sz w:val="20"/>
          <w:u w:val="none"/>
          <w:vertAlign w:val="baseline"/>
        </w:rPr>
        <w:t>. That holding applies with equal force here. Plaintiffs' global pricing theory is rejected as a matter of law.</w:t>
      </w:r>
    </w:p>
    <w:p>
      <w:pPr>
        <w:keepNext w:val="0"/>
        <w:widowControl w:val="0"/>
        <w:spacing w:before="200" w:after="0" w:line="260" w:lineRule="atLeast"/>
        <w:ind w:left="0" w:right="0" w:firstLine="0"/>
        <w:jc w:val="both"/>
      </w:pPr>
      <w:bookmarkStart w:id="119" w:name="Bookmark_para_31"/>
      <w:bookmarkEnd w:id="119"/>
      <w:r>
        <w:rPr>
          <w:rFonts w:ascii="arial" w:eastAsia="arial" w:hAnsi="arial" w:cs="arial"/>
          <w:b w:val="0"/>
          <w:i w:val="0"/>
          <w:strike w:val="0"/>
          <w:noProof w:val="0"/>
          <w:color w:val="000000"/>
          <w:position w:val="0"/>
          <w:sz w:val="20"/>
          <w:u w:val="none"/>
          <w:vertAlign w:val="baseline"/>
        </w:rPr>
        <w:t xml:space="preserve">Going forward in this case, the Sherman Act claims of foreign purchasers who were invoiced and received their capacitors abroad are not barred as a matter of law, but they may not allege a claim on the basis of a global pricing theory. While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likely leaves only a small opening for plaintiffs to establish proximate cause in this category, they are certainly free to proffer facts in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Phase II showing that they can get through the eye of that needle.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Capacitors Incorporated Into Products Destined For Sale In The United States</w:t>
      </w:r>
    </w:p>
    <w:p>
      <w:pPr>
        <w:keepNext w:val="0"/>
        <w:widowControl w:val="0"/>
        <w:spacing w:before="200" w:after="0" w:line="260" w:lineRule="atLeast"/>
        <w:ind w:left="0" w:right="0" w:firstLine="0"/>
        <w:jc w:val="both"/>
      </w:pPr>
      <w:bookmarkStart w:id="120" w:name="Bookmark_para_32"/>
      <w:bookmarkEnd w:id="120"/>
      <w:bookmarkStart w:id="121" w:name="Bookmark_I5M1FVJN2N1RFW0020000400"/>
      <w:bookmarkEnd w:id="121"/>
      <w:r>
        <w:rPr>
          <w:rFonts w:ascii="arial" w:eastAsia="arial" w:hAnsi="arial" w:cs="arial"/>
          <w:b w:val="0"/>
          <w:i w:val="0"/>
          <w:strike w:val="0"/>
          <w:noProof w:val="0"/>
          <w:color w:val="000000"/>
          <w:position w:val="0"/>
          <w:sz w:val="20"/>
          <w:u w:val="none"/>
          <w:vertAlign w:val="baseline"/>
        </w:rPr>
        <w:t xml:space="preserve">Flextronics' allegations raise another category of trade: capacitors that were manufactured abroad and incorporated abroad into finished products destined for sale in the United States. </w:t>
      </w:r>
      <w:bookmarkStart w:id="122" w:name="Bookmark_I5M1FVJN2N1RFW0040000400"/>
      <w:bookmarkEnd w:id="122"/>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val="0"/>
          <w:strike w:val="0"/>
          <w:noProof w:val="0"/>
          <w:color w:val="000000"/>
          <w:position w:val="0"/>
          <w:sz w:val="20"/>
          <w:u w:val="none"/>
          <w:vertAlign w:val="baseline"/>
        </w:rPr>
        <w:t xml:space="preserve"> suggests, without definitively stating, that transactions like this may come within the Sherman Act either as import trade or under the domestic effects exception. For the "[f]oreign sales of panels that were incorporated into finished consumer products ultimately sold in the United States," the court noted that the parties acknowledged the conduct was both substantial and had a reasonably foreseeable impact on the United States, and the court went on to find that the impact was also sufficiently "direct," thereby satisfying the first prong of the domestic effects exception. </w:t>
      </w:r>
      <w:bookmarkStart w:id="123" w:name="Bookmark_I5M1FVJN2N1RFW0010000400"/>
      <w:bookmarkEnd w:id="123"/>
      <w:r>
        <w:rPr>
          <w:rFonts w:ascii="arial" w:eastAsia="arial" w:hAnsi="arial" w:cs="arial"/>
          <w:b w:val="0"/>
          <w:i/>
          <w:strike w:val="0"/>
          <w:noProof w:val="0"/>
          <w:color w:val="000000"/>
          <w:position w:val="0"/>
          <w:sz w:val="20"/>
          <w:u w:val="none"/>
          <w:vertAlign w:val="baseline"/>
        </w:rPr>
        <w:t>778 F.3d at 758-59</w:t>
      </w:r>
      <w:r>
        <w:rPr>
          <w:rFonts w:ascii="arial" w:eastAsia="arial" w:hAnsi="arial" w:cs="arial"/>
          <w:b w:val="0"/>
          <w:i w:val="0"/>
          <w:strike w:val="0"/>
          <w:noProof w:val="0"/>
          <w:color w:val="000000"/>
          <w:position w:val="0"/>
          <w:sz w:val="20"/>
          <w:u w:val="none"/>
          <w:vertAlign w:val="baseline"/>
        </w:rPr>
        <w:t xml:space="preserve">. </w:t>
      </w:r>
      <w:bookmarkStart w:id="124" w:name="Bookmark_I5M1FVJN2N1RFW0040000400_2"/>
      <w:bookmarkEnd w:id="124"/>
      <w:r>
        <w:rPr>
          <w:rFonts w:ascii="arial" w:eastAsia="arial" w:hAnsi="arial" w:cs="arial"/>
          <w:b w:val="0"/>
          <w:i w:val="0"/>
          <w:strike w:val="0"/>
          <w:noProof w:val="0"/>
          <w:color w:val="000000"/>
          <w:position w:val="0"/>
          <w:sz w:val="20"/>
          <w:u w:val="none"/>
          <w:vertAlign w:val="baseline"/>
        </w:rPr>
        <w:t>An important part of the court's holding was that TFT-LCDs were a "substantial cost component of the finished products," and it was "well understood that substantial numbers of finished products were destined for the United States and that the practical upshot of the conspiracy would be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and was increased prices to customers in the United States." </w:t>
      </w:r>
      <w:bookmarkStart w:id="125" w:name="Bookmark_I5M1FVJN2N1RFW0030000400"/>
      <w:bookmarkEnd w:id="12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759</w:t>
      </w:r>
      <w:r>
        <w:rPr>
          <w:rFonts w:ascii="arial" w:eastAsia="arial" w:hAnsi="arial" w:cs="arial"/>
          <w:b w:val="0"/>
          <w:i w:val="0"/>
          <w:strike w:val="0"/>
          <w:noProof w:val="0"/>
          <w:color w:val="000000"/>
          <w:position w:val="0"/>
          <w:sz w:val="20"/>
          <w:u w:val="none"/>
          <w:vertAlign w:val="baseline"/>
        </w:rPr>
        <w:t>. None of that fits well here, where the parties agree that capacitors are tiny parts that cost pennies or less to buy, and are unlikely to be a substantial cost component of finished products even when used in volume.</w:t>
      </w:r>
    </w:p>
    <w:p>
      <w:pPr>
        <w:keepNext w:val="0"/>
        <w:widowControl w:val="0"/>
        <w:spacing w:before="200" w:after="0" w:line="260" w:lineRule="atLeast"/>
        <w:ind w:left="0" w:right="0" w:firstLine="0"/>
        <w:jc w:val="both"/>
      </w:pPr>
      <w:bookmarkStart w:id="126" w:name="Bookmark_para_33"/>
      <w:bookmarkEnd w:id="126"/>
      <w:r>
        <w:rPr>
          <w:rFonts w:ascii="arial" w:eastAsia="arial" w:hAnsi="arial" w:cs="arial"/>
          <w:b w:val="0"/>
          <w:i w:val="0"/>
          <w:strike w:val="0"/>
          <w:noProof w:val="0"/>
          <w:color w:val="000000"/>
          <w:position w:val="0"/>
          <w:sz w:val="20"/>
          <w:u w:val="none"/>
          <w:vertAlign w:val="baseline"/>
        </w:rPr>
        <w:t xml:space="preserve">Another wrinkle for this category is that </w:t>
      </w:r>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val="0"/>
          <w:strike w:val="0"/>
          <w:noProof w:val="0"/>
          <w:color w:val="000000"/>
          <w:position w:val="0"/>
          <w:sz w:val="20"/>
          <w:u w:val="none"/>
          <w:vertAlign w:val="baseline"/>
        </w:rPr>
        <w:t xml:space="preserve"> was a criminal case brought by the United States government. Because the government was not seeking civil monetary damages, </w:t>
      </w:r>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val="0"/>
          <w:strike w:val="0"/>
          <w:noProof w:val="0"/>
          <w:color w:val="000000"/>
          <w:position w:val="0"/>
          <w:sz w:val="20"/>
          <w:u w:val="none"/>
          <w:vertAlign w:val="baseline"/>
        </w:rPr>
        <w:t xml:space="preserve"> had no need to address the second prong of the domestic effects exception. That is quite different from this civil damages case, which makes it difficult to apply the broader statements in </w:t>
      </w:r>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val="0"/>
          <w:strike w:val="0"/>
          <w:noProof w:val="0"/>
          <w:color w:val="000000"/>
          <w:position w:val="0"/>
          <w:sz w:val="20"/>
          <w:u w:val="none"/>
          <w:vertAlign w:val="baseline"/>
        </w:rPr>
        <w:t xml:space="preserve">. </w:t>
      </w:r>
      <w:bookmarkStart w:id="127" w:name="Bookmark_I5M1FVJN2SF89N0010000400"/>
      <w:bookmarkEnd w:id="127"/>
      <w:r>
        <w:rPr>
          <w:rFonts w:ascii="arial" w:eastAsia="arial" w:hAnsi="arial" w:cs="arial"/>
          <w:b w:val="0"/>
          <w:i w:val="0"/>
          <w:strike w:val="0"/>
          <w:noProof w:val="0"/>
          <w:color w:val="000000"/>
          <w:position w:val="0"/>
          <w:sz w:val="20"/>
          <w:u w:val="none"/>
          <w:vertAlign w:val="baseline"/>
        </w:rPr>
        <w:t xml:space="preserve">The challenge is compounded by the fact </w:t>
      </w:r>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val="0"/>
          <w:strike w:val="0"/>
          <w:noProof w:val="0"/>
          <w:color w:val="000000"/>
          <w:position w:val="0"/>
          <w:sz w:val="20"/>
          <w:u w:val="none"/>
          <w:vertAlign w:val="baseline"/>
        </w:rPr>
        <w:t xml:space="preserve"> did not turn on the domestic effects exception. After finding that the first prong of the exception had been satisfied, the court stated that "even disregarding the domestic effects exception, the evidence that the defendants engaged in import trade was overwhelming . . . [and the] evidence offered in support of the import trade theory alone was sufficient to convict the defendants of price-fixing in violation of the Sherman Act." </w:t>
      </w:r>
      <w:bookmarkStart w:id="128" w:name="Bookmark_I5M1FVJN2N1RFW0050000400"/>
      <w:bookmarkEnd w:id="12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760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9" w:name="Bookmark_para_34"/>
      <w:bookmarkEnd w:id="129"/>
      <w:r>
        <w:rPr>
          <w:rFonts w:ascii="arial" w:eastAsia="arial" w:hAnsi="arial" w:cs="arial"/>
          <w:b w:val="0"/>
          <w:i w:val="0"/>
          <w:strike w:val="0"/>
          <w:noProof w:val="0"/>
          <w:color w:val="000000"/>
          <w:position w:val="0"/>
          <w:sz w:val="20"/>
          <w:u w:val="none"/>
          <w:vertAlign w:val="baseline"/>
        </w:rPr>
        <w:t>In any event, the ultimate legal disposition of this category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will depend on the facts, which are far from undisputed here. The Court leaves this category for further development and resolution in Phase II or later stages of the case. The parties are advised to consider the discussion of </w:t>
      </w:r>
      <w:r>
        <w:rPr>
          <w:rFonts w:ascii="arial" w:eastAsia="arial" w:hAnsi="arial" w:cs="arial"/>
          <w:b w:val="0"/>
          <w:i/>
          <w:strike w:val="0"/>
          <w:noProof w:val="0"/>
          <w:color w:val="000000"/>
          <w:position w:val="0"/>
          <w:sz w:val="20"/>
          <w:u w:val="none"/>
          <w:vertAlign w:val="baseline"/>
        </w:rPr>
        <w:t>Hsiung</w:t>
      </w:r>
      <w:r>
        <w:rPr>
          <w:rFonts w:ascii="arial" w:eastAsia="arial" w:hAnsi="arial" w:cs="arial"/>
          <w:b w:val="0"/>
          <w:i w:val="0"/>
          <w:strike w:val="0"/>
          <w:noProof w:val="0"/>
          <w:color w:val="000000"/>
          <w:position w:val="0"/>
          <w:sz w:val="20"/>
          <w:u w:val="none"/>
          <w:vertAlign w:val="baseline"/>
        </w:rPr>
        <w:t xml:space="preserve"> when returning to this category in future motions.</w:t>
      </w:r>
    </w:p>
    <w:p>
      <w:pPr>
        <w:keepNext w:val="0"/>
        <w:widowControl w:val="0"/>
        <w:spacing w:before="200" w:after="0" w:line="260" w:lineRule="atLeast"/>
        <w:ind w:left="0" w:right="0" w:firstLine="0"/>
        <w:jc w:val="both"/>
      </w:pPr>
      <w:bookmarkStart w:id="130" w:name="Bookmark_para_35"/>
      <w:bookmarkEnd w:id="130"/>
      <w:bookmarkStart w:id="131" w:name="Bookmark_I5M1FVJN2SF89N0030000400"/>
      <w:bookmarkEnd w:id="131"/>
      <w:r>
        <w:rPr>
          <w:rFonts w:ascii="arial" w:eastAsia="arial" w:hAnsi="arial" w:cs="arial"/>
          <w:b w:val="0"/>
          <w:i w:val="0"/>
          <w:strike w:val="0"/>
          <w:noProof w:val="0"/>
          <w:color w:val="000000"/>
          <w:position w:val="0"/>
          <w:sz w:val="20"/>
          <w:u w:val="none"/>
          <w:vertAlign w:val="baseline"/>
        </w:rPr>
        <w:t xml:space="preserve">This concludes the Court's treatment of the transaction categories raised by the direct purchaser plaintiffs' allegations as briefed by the parties. Defendants made a passing gesture at arguing that the direct purchaser plaintiffs cannot recover under </w:t>
      </w:r>
      <w:bookmarkStart w:id="132" w:name="Bookmark_I5M1FVJN2SF89N0020000400"/>
      <w:bookmarkEnd w:id="132"/>
      <w:hyperlink r:id="rId23" w:history="1">
        <w:r>
          <w:rPr>
            <w:rFonts w:ascii="arial" w:eastAsia="arial" w:hAnsi="arial" w:cs="arial"/>
            <w:b w:val="0"/>
            <w:i/>
            <w:strike w:val="0"/>
            <w:noProof w:val="0"/>
            <w:color w:val="0077CC"/>
            <w:position w:val="0"/>
            <w:sz w:val="20"/>
            <w:u w:val="single"/>
            <w:vertAlign w:val="baseline"/>
          </w:rPr>
          <w:t>Illinois Brick Co. v. Illinois</w:t>
        </w:r>
      </w:hyperlink>
      <w:hyperlink r:id="rId23"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for "purchases of capacitors or finished goods containing capacitors from their foreign affiliates who purchased the capacitors directly from defendants." Dkt. No. 915 at 24-26. The intersection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the FTAIA is a complex topic and the Court declines to address it at this stage in light of the cursory briefing and underdeveloped factual record presently before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IPPS' ALLEGATIONS</w:t>
      </w:r>
    </w:p>
    <w:p>
      <w:pPr>
        <w:keepNext w:val="0"/>
        <w:widowControl w:val="0"/>
        <w:spacing w:before="200" w:after="0" w:line="260" w:lineRule="atLeast"/>
        <w:ind w:left="0" w:right="0" w:firstLine="0"/>
        <w:jc w:val="both"/>
      </w:pPr>
      <w:bookmarkStart w:id="133" w:name="Bookmark_para_36"/>
      <w:bookmarkEnd w:id="133"/>
      <w:r>
        <w:rPr>
          <w:rFonts w:ascii="arial" w:eastAsia="arial" w:hAnsi="arial" w:cs="arial"/>
          <w:b w:val="0"/>
          <w:i w:val="0"/>
          <w:strike w:val="0"/>
          <w:noProof w:val="0"/>
          <w:color w:val="000000"/>
          <w:position w:val="0"/>
          <w:sz w:val="20"/>
          <w:u w:val="none"/>
          <w:vertAlign w:val="baseline"/>
        </w:rPr>
        <w:t xml:space="preserve">The fundamental dispute on the IPP side of the case is whether the FTAIA applies to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claims alleged by the IPPs. Defendants say that the "state law claims are governed by the extraterritorial limitations imposed by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FTAIA," which bar "claims that involve standalone capacitors first sold outside the United States to a third-party distributor that is not an alleged conspirator." Dkt. No. 911 at 1, 5.</w:t>
      </w:r>
    </w:p>
    <w:p>
      <w:pPr>
        <w:keepNext w:val="0"/>
        <w:widowControl w:val="0"/>
        <w:spacing w:before="200" w:after="0" w:line="260" w:lineRule="atLeast"/>
        <w:ind w:left="0" w:right="0" w:firstLine="0"/>
        <w:jc w:val="both"/>
      </w:pPr>
      <w:bookmarkStart w:id="134" w:name="Bookmark_para_37"/>
      <w:bookmarkEnd w:id="134"/>
      <w:r>
        <w:rPr>
          <w:rFonts w:ascii="arial" w:eastAsia="arial" w:hAnsi="arial" w:cs="arial"/>
          <w:b w:val="0"/>
          <w:i w:val="0"/>
          <w:strike w:val="0"/>
          <w:noProof w:val="0"/>
          <w:color w:val="000000"/>
          <w:position w:val="0"/>
          <w:sz w:val="20"/>
          <w:u w:val="none"/>
          <w:vertAlign w:val="baseline"/>
        </w:rPr>
        <w:t xml:space="preserve">Both sides frame the discussion in terms of the application of the federal FTAIA statute to state law claims, and they invoke arguments drawing on the </w:t>
      </w:r>
      <w:hyperlink r:id="rId24"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principles of international comity, and the harmonization provisions contained in some of the state statutes. </w:t>
      </w:r>
      <w:bookmarkStart w:id="135" w:name="Bookmark_I5M1FVJN2SF89N0050000400"/>
      <w:bookmarkEnd w:id="135"/>
      <w:r>
        <w:rPr>
          <w:rFonts w:ascii="arial" w:eastAsia="arial" w:hAnsi="arial" w:cs="arial"/>
          <w:b w:val="0"/>
          <w:i w:val="0"/>
          <w:strike w:val="0"/>
          <w:noProof w:val="0"/>
          <w:color w:val="000000"/>
          <w:position w:val="0"/>
          <w:sz w:val="20"/>
          <w:u w:val="none"/>
          <w:vertAlign w:val="baseline"/>
        </w:rPr>
        <w:t xml:space="preserve">Dkt. Nos. 911, 965. This issue is, rather strikingly, not settled in our circuit. </w:t>
      </w:r>
      <w:bookmarkStart w:id="136" w:name="Bookmark_I5M1FVJN28T4J50020000400"/>
      <w:bookmarkEnd w:id="136"/>
      <w:r>
        <w:rPr>
          <w:rFonts w:ascii="arial" w:eastAsia="arial" w:hAnsi="arial" w:cs="arial"/>
          <w:b w:val="0"/>
          <w:i/>
          <w:strike w:val="0"/>
          <w:noProof w:val="0"/>
          <w:color w:val="000000"/>
          <w:position w:val="0"/>
          <w:sz w:val="20"/>
          <w:u w:val="none"/>
          <w:vertAlign w:val="baseline"/>
        </w:rPr>
        <w:t xml:space="preserve">See </w:t>
      </w:r>
      <w:bookmarkStart w:id="137" w:name="Bookmark_I5M1FVJN2SF89N0040000400"/>
      <w:bookmarkEnd w:id="137"/>
      <w:hyperlink r:id="rId25"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Litigation</w:t>
        </w:r>
      </w:hyperlink>
      <w:hyperlink r:id="rId25" w:history="1">
        <w:r>
          <w:rPr>
            <w:rFonts w:ascii="arial" w:eastAsia="arial" w:hAnsi="arial" w:cs="arial"/>
            <w:b w:val="0"/>
            <w:i/>
            <w:strike w:val="0"/>
            <w:noProof w:val="0"/>
            <w:color w:val="0077CC"/>
            <w:position w:val="0"/>
            <w:sz w:val="20"/>
            <w:u w:val="single"/>
            <w:vertAlign w:val="baseline"/>
          </w:rPr>
          <w:t>, 637 Fed. Appx. 981, 984 n.2 (9th Cir. 2016)</w:t>
        </w:r>
      </w:hyperlink>
      <w:r>
        <w:rPr>
          <w:rFonts w:ascii="arial" w:eastAsia="arial" w:hAnsi="arial" w:cs="arial"/>
          <w:b w:val="0"/>
          <w:i w:val="0"/>
          <w:strike w:val="0"/>
          <w:noProof w:val="0"/>
          <w:color w:val="000000"/>
          <w:position w:val="0"/>
          <w:sz w:val="20"/>
          <w:u w:val="none"/>
          <w:vertAlign w:val="baseline"/>
        </w:rPr>
        <w:t xml:space="preserve"> (finding it "not necessary to reach Best Buy's arguments . . . that the FTAIA does not apply to claims under Minnesota law."). </w:t>
      </w:r>
      <w:bookmarkStart w:id="138" w:name="Bookmark_I5M1FVJN28T4J50020000400_2"/>
      <w:bookmarkEnd w:id="138"/>
      <w:r>
        <w:rPr>
          <w:rFonts w:ascii="arial" w:eastAsia="arial" w:hAnsi="arial" w:cs="arial"/>
          <w:b w:val="0"/>
          <w:i w:val="0"/>
          <w:strike w:val="0"/>
          <w:noProof w:val="0"/>
          <w:color w:val="000000"/>
          <w:position w:val="0"/>
          <w:sz w:val="20"/>
          <w:u w:val="none"/>
          <w:vertAlign w:val="baseline"/>
        </w:rPr>
        <w:t xml:space="preserve">District court opinions have in general declined to find that state competition laws cast a wider net than the FTAIA. </w:t>
      </w:r>
      <w:bookmarkStart w:id="139" w:name="Bookmark_I5M1FVJN2N1RFX0030000400"/>
      <w:bookmarkEnd w:id="139"/>
      <w:r>
        <w:rPr>
          <w:rFonts w:ascii="arial" w:eastAsia="arial" w:hAnsi="arial" w:cs="arial"/>
          <w:b w:val="0"/>
          <w:i/>
          <w:strike w:val="0"/>
          <w:noProof w:val="0"/>
          <w:color w:val="000000"/>
          <w:position w:val="0"/>
          <w:sz w:val="20"/>
          <w:u w:val="none"/>
          <w:vertAlign w:val="baseline"/>
        </w:rPr>
        <w:t xml:space="preserve">See, e.g., </w:t>
      </w:r>
      <w:bookmarkStart w:id="140" w:name="Bookmark_I5M1FVJN28T4J50010000400"/>
      <w:bookmarkEnd w:id="140"/>
      <w:hyperlink r:id="rId26"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Litigation</w:t>
        </w:r>
      </w:hyperlink>
      <w:hyperlink r:id="rId26" w:history="1">
        <w:r>
          <w:rPr>
            <w:rFonts w:ascii="arial" w:eastAsia="arial" w:hAnsi="arial" w:cs="arial"/>
            <w:b w:val="0"/>
            <w:i/>
            <w:strike w:val="0"/>
            <w:noProof w:val="0"/>
            <w:color w:val="0077CC"/>
            <w:position w:val="0"/>
            <w:sz w:val="20"/>
            <w:u w:val="single"/>
            <w:vertAlign w:val="baseline"/>
          </w:rPr>
          <w:t>, No. 07-md-01819 CW, 2010 U.S. Dist. LEXIS 141968, 2010 WL 5477313, at *4 (N.D. Cal. Dec. 31, 2010)</w:t>
        </w:r>
      </w:hyperlink>
      <w:r>
        <w:rPr>
          <w:rFonts w:ascii="arial" w:eastAsia="arial" w:hAnsi="arial" w:cs="arial"/>
          <w:b w:val="0"/>
          <w:i w:val="0"/>
          <w:strike w:val="0"/>
          <w:noProof w:val="0"/>
          <w:color w:val="000000"/>
          <w:position w:val="0"/>
          <w:sz w:val="20"/>
          <w:u w:val="none"/>
          <w:vertAlign w:val="baseline"/>
        </w:rPr>
        <w:t xml:space="preserve"> ("the United States Constitution vests Congress with the express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with foreign Nations,' </w:t>
      </w:r>
      <w:r>
        <w:rPr>
          <w:rFonts w:ascii="arial" w:eastAsia="arial" w:hAnsi="arial" w:cs="arial"/>
          <w:b w:val="0"/>
          <w:i/>
          <w:strike w:val="0"/>
          <w:noProof w:val="0"/>
          <w:color w:val="000000"/>
          <w:position w:val="0"/>
          <w:sz w:val="20"/>
          <w:u w:val="none"/>
          <w:vertAlign w:val="baseline"/>
        </w:rPr>
        <w:t>U.S. Const. Art. I, § 8, cl. 3</w:t>
      </w:r>
      <w:r>
        <w:rPr>
          <w:rFonts w:ascii="arial" w:eastAsia="arial" w:hAnsi="arial" w:cs="arial"/>
          <w:b w:val="0"/>
          <w:i w:val="0"/>
          <w:strike w:val="0"/>
          <w:noProof w:val="0"/>
          <w:color w:val="000000"/>
          <w:position w:val="0"/>
          <w:sz w:val="20"/>
          <w:u w:val="none"/>
          <w:vertAlign w:val="baseline"/>
        </w:rPr>
        <w:t xml:space="preserve">, and courts have accordingly recognized that foreign commerce is 'pre-eminently a matter of national concern' on which the federal government has historically spoke[n] with 'one voice.'") (quoting </w:t>
      </w:r>
      <w:bookmarkStart w:id="141" w:name="Bookmark_I5M1FVJN28T4J50030000400"/>
      <w:bookmarkEnd w:id="141"/>
      <w:hyperlink r:id="rId27" w:history="1">
        <w:r>
          <w:rPr>
            <w:rFonts w:ascii="arial" w:eastAsia="arial" w:hAnsi="arial" w:cs="arial"/>
            <w:b w:val="0"/>
            <w:i/>
            <w:strike w:val="0"/>
            <w:noProof w:val="0"/>
            <w:color w:val="0077CC"/>
            <w:position w:val="0"/>
            <w:sz w:val="20"/>
            <w:u w:val="single"/>
            <w:vertAlign w:val="baseline"/>
          </w:rPr>
          <w:t>Japan Line, Ltd. v. County of L.A.</w:t>
        </w:r>
      </w:hyperlink>
      <w:hyperlink r:id="rId27" w:history="1">
        <w:r>
          <w:rPr>
            <w:rFonts w:ascii="arial" w:eastAsia="arial" w:hAnsi="arial" w:cs="arial"/>
            <w:b w:val="0"/>
            <w:i/>
            <w:strike w:val="0"/>
            <w:noProof w:val="0"/>
            <w:color w:val="0077CC"/>
            <w:position w:val="0"/>
            <w:sz w:val="20"/>
            <w:u w:val="single"/>
            <w:vertAlign w:val="baseline"/>
          </w:rPr>
          <w:t>, 441 U.S. 434, 448, 453-54, 99 S. Ct. 1813, 60 L. Ed. 2d 336 (1979))</w:t>
        </w:r>
      </w:hyperlink>
      <w:r>
        <w:rPr>
          <w:rFonts w:ascii="arial" w:eastAsia="arial" w:hAnsi="arial" w:cs="arial"/>
          <w:b w:val="0"/>
          <w:i w:val="0"/>
          <w:strike w:val="0"/>
          <w:noProof w:val="0"/>
          <w:color w:val="000000"/>
          <w:position w:val="0"/>
          <w:sz w:val="20"/>
          <w:u w:val="none"/>
          <w:vertAlign w:val="baseline"/>
        </w:rPr>
        <w:t xml:space="preserve">; </w:t>
      </w:r>
      <w:bookmarkStart w:id="142" w:name="Bookmark_I5M1FVJN28T4J50050000400"/>
      <w:bookmarkEnd w:id="142"/>
      <w:hyperlink r:id="rId28" w:history="1">
        <w:r>
          <w:rPr>
            <w:rFonts w:ascii="arial" w:eastAsia="arial" w:hAnsi="arial" w:cs="arial"/>
            <w:b w:val="0"/>
            <w:i/>
            <w:strike w:val="0"/>
            <w:noProof w:val="0"/>
            <w:color w:val="0077CC"/>
            <w:position w:val="0"/>
            <w:sz w:val="20"/>
            <w:u w:val="single"/>
            <w:vertAlign w:val="baseline"/>
          </w:rPr>
          <w:t>The 'In' Porters, S.A. v. Hanes Printables, Inc.</w:t>
        </w:r>
      </w:hyperlink>
      <w:hyperlink r:id="rId28" w:history="1">
        <w:r>
          <w:rPr>
            <w:rFonts w:ascii="arial" w:eastAsia="arial" w:hAnsi="arial" w:cs="arial"/>
            <w:b w:val="0"/>
            <w:i/>
            <w:strike w:val="0"/>
            <w:noProof w:val="0"/>
            <w:color w:val="0077CC"/>
            <w:position w:val="0"/>
            <w:sz w:val="20"/>
            <w:u w:val="single"/>
            <w:vertAlign w:val="baseline"/>
          </w:rPr>
          <w:t>, 663 F. Supp. 494, 502 n.8 (M.D.N.C. 1987)</w:t>
        </w:r>
      </w:hyperlink>
      <w:r>
        <w:rPr>
          <w:rFonts w:ascii="arial" w:eastAsia="arial" w:hAnsi="arial" w:cs="arial"/>
          <w:b w:val="0"/>
          <w:i w:val="0"/>
          <w:strike w:val="0"/>
          <w:noProof w:val="0"/>
          <w:color w:val="000000"/>
          <w:position w:val="0"/>
          <w:sz w:val="20"/>
          <w:u w:val="none"/>
          <w:vertAlign w:val="baseline"/>
        </w:rPr>
        <w:t xml:space="preserve">. </w:t>
      </w:r>
      <w:bookmarkStart w:id="143" w:name="Bookmark_I5M1FVJN2N1RFX0030000400_2"/>
      <w:bookmarkEnd w:id="143"/>
      <w:r>
        <w:rPr>
          <w:rFonts w:ascii="arial" w:eastAsia="arial" w:hAnsi="arial" w:cs="arial"/>
          <w:b w:val="0"/>
          <w:i w:val="0"/>
          <w:strike w:val="0"/>
          <w:noProof w:val="0"/>
          <w:color w:val="000000"/>
          <w:position w:val="0"/>
          <w:sz w:val="20"/>
          <w:u w:val="none"/>
          <w:vertAlign w:val="baseline"/>
        </w:rPr>
        <w:t>Some state courts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have reached the same conclusion. </w:t>
      </w:r>
      <w:r>
        <w:rPr>
          <w:rFonts w:ascii="arial" w:eastAsia="arial" w:hAnsi="arial" w:cs="arial"/>
          <w:b w:val="0"/>
          <w:i/>
          <w:strike w:val="0"/>
          <w:noProof w:val="0"/>
          <w:color w:val="000000"/>
          <w:position w:val="0"/>
          <w:sz w:val="20"/>
          <w:u w:val="none"/>
          <w:vertAlign w:val="baseline"/>
        </w:rPr>
        <w:t xml:space="preserve">See, e.g., </w:t>
      </w:r>
      <w:bookmarkStart w:id="144" w:name="Bookmark_I5M1FVJN2N1RFX0020000400"/>
      <w:bookmarkEnd w:id="144"/>
      <w:hyperlink r:id="rId29" w:history="1">
        <w:r>
          <w:rPr>
            <w:rFonts w:ascii="arial" w:eastAsia="arial" w:hAnsi="arial" w:cs="arial"/>
            <w:b w:val="0"/>
            <w:i/>
            <w:strike w:val="0"/>
            <w:noProof w:val="0"/>
            <w:color w:val="0077CC"/>
            <w:position w:val="0"/>
            <w:sz w:val="20"/>
            <w:u w:val="single"/>
            <w:vertAlign w:val="baseline"/>
          </w:rPr>
          <w:t>Amarel v. Connell</w:t>
        </w:r>
      </w:hyperlink>
      <w:hyperlink r:id="rId29" w:history="1">
        <w:r>
          <w:rPr>
            <w:rFonts w:ascii="arial" w:eastAsia="arial" w:hAnsi="arial" w:cs="arial"/>
            <w:b w:val="0"/>
            <w:i/>
            <w:strike w:val="0"/>
            <w:noProof w:val="0"/>
            <w:color w:val="0077CC"/>
            <w:position w:val="0"/>
            <w:sz w:val="20"/>
            <w:u w:val="single"/>
            <w:vertAlign w:val="baseline"/>
          </w:rPr>
          <w:t>, 202 Cal. App. 3d 137, 149, 248 Cal. Rptr. 276 (1988)</w:t>
        </w:r>
      </w:hyperlink>
      <w:r>
        <w:rPr>
          <w:rFonts w:ascii="arial" w:eastAsia="arial" w:hAnsi="arial" w:cs="arial"/>
          <w:b w:val="0"/>
          <w:i w:val="0"/>
          <w:strike w:val="0"/>
          <w:noProof w:val="0"/>
          <w:color w:val="000000"/>
          <w:position w:val="0"/>
          <w:sz w:val="20"/>
          <w:u w:val="none"/>
          <w:vertAlign w:val="baseline"/>
        </w:rPr>
        <w:t xml:space="preserve"> (assuming FTAIA applies to limit reach of state law); </w:t>
      </w:r>
      <w:bookmarkStart w:id="145" w:name="Bookmark_I5M1FVJN2N1RFX0040000400"/>
      <w:bookmarkEnd w:id="145"/>
      <w:hyperlink r:id="rId30" w:history="1">
        <w:r>
          <w:rPr>
            <w:rFonts w:ascii="arial" w:eastAsia="arial" w:hAnsi="arial" w:cs="arial"/>
            <w:b w:val="0"/>
            <w:i/>
            <w:strike w:val="0"/>
            <w:noProof w:val="0"/>
            <w:color w:val="0077CC"/>
            <w:position w:val="0"/>
            <w:sz w:val="20"/>
            <w:u w:val="single"/>
            <w:vertAlign w:val="baseline"/>
          </w:rPr>
          <w:t>Global Reinsurance Corp. U.S. Branch v. Equitas Ltd.</w:t>
        </w:r>
      </w:hyperlink>
      <w:hyperlink r:id="rId30" w:history="1">
        <w:r>
          <w:rPr>
            <w:rFonts w:ascii="arial" w:eastAsia="arial" w:hAnsi="arial" w:cs="arial"/>
            <w:b w:val="0"/>
            <w:i/>
            <w:strike w:val="0"/>
            <w:noProof w:val="0"/>
            <w:color w:val="0077CC"/>
            <w:position w:val="0"/>
            <w:sz w:val="20"/>
            <w:u w:val="single"/>
            <w:vertAlign w:val="baseline"/>
          </w:rPr>
          <w:t>, 18 N.Y.3d 722, 735, 969 N.E.2d 187, 946 N.Y.S.2d 71 (N.Y. 2012)</w:t>
        </w:r>
      </w:hyperlink>
      <w:r>
        <w:rPr>
          <w:rFonts w:ascii="arial" w:eastAsia="arial" w:hAnsi="arial" w:cs="arial"/>
          <w:b w:val="0"/>
          <w:i w:val="0"/>
          <w:strike w:val="0"/>
          <w:noProof w:val="0"/>
          <w:color w:val="000000"/>
          <w:position w:val="0"/>
          <w:sz w:val="20"/>
          <w:u w:val="none"/>
          <w:vertAlign w:val="baseline"/>
        </w:rPr>
        <w:t xml:space="preserve"> ("The federal limitation upon the reach of the Sherman Act, predicated upon and an expression of the essentially federal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foreign commerce, would be undone if states remained free to authorize 'little Sherman Act' claims that went beyond it.").</w:t>
      </w:r>
    </w:p>
    <w:p>
      <w:pPr>
        <w:keepNext w:val="0"/>
        <w:widowControl w:val="0"/>
        <w:spacing w:before="200" w:after="0" w:line="260" w:lineRule="atLeast"/>
        <w:ind w:left="0" w:right="0" w:firstLine="0"/>
        <w:jc w:val="both"/>
      </w:pPr>
      <w:bookmarkStart w:id="146" w:name="Bookmark_para_38"/>
      <w:bookmarkEnd w:id="146"/>
      <w:r>
        <w:rPr>
          <w:rFonts w:ascii="arial" w:eastAsia="arial" w:hAnsi="arial" w:cs="arial"/>
          <w:b w:val="0"/>
          <w:i w:val="0"/>
          <w:strike w:val="0"/>
          <w:noProof w:val="0"/>
          <w:color w:val="000000"/>
          <w:position w:val="0"/>
          <w:sz w:val="20"/>
          <w:u w:val="none"/>
          <w:vertAlign w:val="baseline"/>
        </w:rPr>
        <w:t xml:space="preserve">Plaintiffs have not cited any federal or state decisions that extend the reach of a state law beyond the FTAIA, and the Court declines to do so here. But that answers only half of the state-law territoriality question. </w:t>
      </w:r>
      <w:bookmarkStart w:id="147" w:name="Bookmark_I5M1FVJN2SF89P0020000400"/>
      <w:bookmarkEnd w:id="147"/>
      <w:r>
        <w:rPr>
          <w:rFonts w:ascii="arial" w:eastAsia="arial" w:hAnsi="arial" w:cs="arial"/>
          <w:b w:val="0"/>
          <w:i w:val="0"/>
          <w:strike w:val="0"/>
          <w:noProof w:val="0"/>
          <w:color w:val="000000"/>
          <w:position w:val="0"/>
          <w:sz w:val="20"/>
          <w:u w:val="none"/>
          <w:vertAlign w:val="baseline"/>
        </w:rPr>
        <w:t xml:space="preserve">To say that state law does not exceed the scope of the FTAIA is not to say that the reach of a given state's law is the same as the FTAIA. It is possible that a state has limited the scope of its competition laws to conduct occurring wholly or mainly within its borders, or by some other boundary that is less than coterminous with federal law. For example, in </w:t>
      </w:r>
      <w:r>
        <w:rPr>
          <w:rFonts w:ascii="arial" w:eastAsia="arial" w:hAnsi="arial" w:cs="arial"/>
          <w:b w:val="0"/>
          <w:i/>
          <w:strike w:val="0"/>
          <w:noProof w:val="0"/>
          <w:color w:val="000000"/>
          <w:position w:val="0"/>
          <w:sz w:val="20"/>
          <w:u w:val="none"/>
          <w:vertAlign w:val="baseline"/>
        </w:rPr>
        <w:t>Global Reinsurance</w:t>
      </w:r>
      <w:r>
        <w:rPr>
          <w:rFonts w:ascii="arial" w:eastAsia="arial" w:hAnsi="arial" w:cs="arial"/>
          <w:b w:val="0"/>
          <w:i w:val="0"/>
          <w:strike w:val="0"/>
          <w:noProof w:val="0"/>
          <w:color w:val="000000"/>
          <w:position w:val="0"/>
          <w:sz w:val="20"/>
          <w:u w:val="none"/>
          <w:vertAlign w:val="baseline"/>
        </w:rPr>
        <w:t xml:space="preserve">, the New York Court of Appeals addressed the "extraterritorial reach of our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Donnelly Act, to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148" w:name="Bookmark_I5M1FVJN2SF89P0010000400"/>
      <w:bookmarkEnd w:id="14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735</w:t>
        </w:r>
      </w:hyperlink>
      <w:r>
        <w:rPr>
          <w:rFonts w:ascii="arial" w:eastAsia="arial" w:hAnsi="arial" w:cs="arial"/>
          <w:b w:val="0"/>
          <w:i w:val="0"/>
          <w:strike w:val="0"/>
          <w:noProof w:val="0"/>
          <w:color w:val="000000"/>
          <w:position w:val="0"/>
          <w:sz w:val="20"/>
          <w:u w:val="none"/>
          <w:vertAlign w:val="baseline"/>
        </w:rPr>
        <w:t xml:space="preserve">. While the Donnelly Act is based on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the court made clear that simply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assuming that its extraterritorial reach was the same as federal law was "an assumption that we do not ultimately embrace."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"Even if the Sherman Act could reach the purported conspiracy, it would not follow that the Donnelly Act should be viewed as coextensive. For a Donnelly Act claim to reach a purely extraterritorial conspiracy, there would, we think, have to be a very close nexus between the conspiracy and injury to competition in this state."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9" w:name="Bookmark_para_39"/>
      <w:bookmarkEnd w:id="149"/>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Global Reinsurance</w:t>
      </w:r>
      <w:r>
        <w:rPr>
          <w:rFonts w:ascii="arial" w:eastAsia="arial" w:hAnsi="arial" w:cs="arial"/>
          <w:b w:val="0"/>
          <w:i w:val="0"/>
          <w:strike w:val="0"/>
          <w:noProof w:val="0"/>
          <w:color w:val="000000"/>
          <w:position w:val="0"/>
          <w:sz w:val="20"/>
          <w:u w:val="none"/>
          <w:vertAlign w:val="baseline"/>
        </w:rPr>
        <w:t xml:space="preserve"> involves different facts than the ones IPPs allege, it asks a pertinent question -- to what extent, if any, does the challenged conduct come within the territorial scope of the state laws IPPs sue under? The current round of briefs does not address this issue, possibly in part because the state laws cited by the IPPs changed when they filed a fourth amended complaint after the papers were filed.</w:t>
      </w:r>
    </w:p>
    <w:p>
      <w:pPr>
        <w:keepNext w:val="0"/>
        <w:widowControl w:val="0"/>
        <w:spacing w:before="200" w:after="0" w:line="260" w:lineRule="atLeast"/>
        <w:ind w:left="0" w:right="0" w:firstLine="0"/>
        <w:jc w:val="both"/>
      </w:pPr>
      <w:bookmarkStart w:id="150" w:name="Bookmark_para_40"/>
      <w:bookmarkEnd w:id="150"/>
      <w:r>
        <w:rPr>
          <w:rFonts w:ascii="arial" w:eastAsia="arial" w:hAnsi="arial" w:cs="arial"/>
          <w:b w:val="0"/>
          <w:i w:val="0"/>
          <w:strike w:val="0"/>
          <w:noProof w:val="0"/>
          <w:color w:val="000000"/>
          <w:position w:val="0"/>
          <w:sz w:val="20"/>
          <w:u w:val="none"/>
          <w:vertAlign w:val="baseline"/>
        </w:rPr>
        <w:t>Consequently, the Court defers resolution of this issue until the parties file supplemental briefs addressing it on a state-by-state basis. IPPs and defendants are directed to meet and confer on a proposed schedule for this briefing and to include the proposal in the global stipulation for a revised case management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schedule that the parties will be submitting to the Court per its prior order. Dkt. No. 1253.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51" w:name="Bookmark_para_41"/>
      <w:bookmarkEnd w:id="151"/>
      <w:r>
        <w:rPr>
          <w:rFonts w:ascii="arial" w:eastAsia="arial" w:hAnsi="arial" w:cs="arial"/>
          <w:b w:val="0"/>
          <w:i w:val="0"/>
          <w:strike w:val="0"/>
          <w:noProof w:val="0"/>
          <w:color w:val="000000"/>
          <w:position w:val="0"/>
          <w:sz w:val="20"/>
          <w:u w:val="none"/>
          <w:vertAlign w:val="baseline"/>
        </w:rPr>
        <w:t xml:space="preserve">This order ends Phase I of the FTAIA proceedings. For next steps, the parties will jointly propose a schedule that includes: (1) defendants' Phase II summary judgment motions consistent with the legal holdings in this order; and (2) the supplemental state law briefs called for in the IPP section. The parties should be prepared to discuss scheduling at least at a high level at the status conference on </w:t>
      </w:r>
      <w:r>
        <w:rPr>
          <w:rFonts w:ascii="arial" w:eastAsia="arial" w:hAnsi="arial" w:cs="arial"/>
          <w:b/>
          <w:i w:val="0"/>
          <w:strike w:val="0"/>
          <w:noProof w:val="0"/>
          <w:color w:val="000000"/>
          <w:position w:val="0"/>
          <w:sz w:val="20"/>
          <w:u w:val="none"/>
          <w:vertAlign w:val="baseline"/>
        </w:rPr>
        <w:t>October 6,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42"/>
      <w:bookmarkEnd w:id="152"/>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43"/>
      <w:bookmarkEnd w:id="153"/>
      <w:r>
        <w:rPr>
          <w:rFonts w:ascii="arial" w:eastAsia="arial" w:hAnsi="arial" w:cs="arial"/>
          <w:b w:val="0"/>
          <w:i w:val="0"/>
          <w:strike w:val="0"/>
          <w:noProof w:val="0"/>
          <w:color w:val="000000"/>
          <w:position w:val="0"/>
          <w:sz w:val="20"/>
          <w:u w:val="none"/>
          <w:vertAlign w:val="baseline"/>
        </w:rPr>
        <w:t>Dated: September 30, 2016</w:t>
      </w:r>
    </w:p>
    <w:p>
      <w:pPr>
        <w:keepNext w:val="0"/>
        <w:widowControl w:val="0"/>
        <w:spacing w:before="200" w:after="0" w:line="260" w:lineRule="atLeast"/>
        <w:ind w:left="0" w:right="0" w:firstLine="0"/>
        <w:jc w:val="both"/>
      </w:pPr>
      <w:bookmarkStart w:id="154" w:name="Bookmark_para_44"/>
      <w:bookmarkEnd w:id="154"/>
      <w:r>
        <w:rPr>
          <w:rFonts w:ascii="arial" w:eastAsia="arial" w:hAnsi="arial" w:cs="arial"/>
          <w:b w:val="0"/>
          <w:i w:val="0"/>
          <w:strike w:val="0"/>
          <w:noProof w:val="0"/>
          <w:color w:val="000000"/>
          <w:position w:val="0"/>
          <w:sz w:val="20"/>
          <w:u w:val="none"/>
          <w:vertAlign w:val="baseline"/>
        </w:rPr>
        <w:t>/s/ James Donato</w:t>
      </w:r>
    </w:p>
    <w:p>
      <w:pPr>
        <w:keepNext w:val="0"/>
        <w:widowControl w:val="0"/>
        <w:spacing w:before="200" w:after="0" w:line="260" w:lineRule="atLeast"/>
        <w:ind w:left="0" w:right="0" w:firstLine="0"/>
        <w:jc w:val="both"/>
      </w:pPr>
      <w:bookmarkStart w:id="155" w:name="Bookmark_para_45"/>
      <w:bookmarkEnd w:id="155"/>
      <w:r>
        <w:rPr>
          <w:rFonts w:ascii="arial" w:eastAsia="arial" w:hAnsi="arial" w:cs="arial"/>
          <w:b w:val="0"/>
          <w:i w:val="0"/>
          <w:strike w:val="0"/>
          <w:noProof w:val="0"/>
          <w:color w:val="000000"/>
          <w:position w:val="0"/>
          <w:sz w:val="20"/>
          <w:u w:val="none"/>
          <w:vertAlign w:val="baseline"/>
        </w:rPr>
        <w:t>JAMES DONATO</w:t>
      </w:r>
    </w:p>
    <w:p>
      <w:pPr>
        <w:keepNext w:val="0"/>
        <w:widowControl w:val="0"/>
        <w:spacing w:before="200" w:after="0" w:line="260" w:lineRule="atLeast"/>
        <w:ind w:left="0" w:right="0" w:firstLine="0"/>
        <w:jc w:val="both"/>
      </w:pPr>
      <w:bookmarkStart w:id="156" w:name="Bookmark_para_46"/>
      <w:bookmarkEnd w:id="15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5" w:name="Bookmark_fnpara_1"/>
      <w:bookmarkEnd w:id="55"/>
      <w:bookmarkStart w:id="56" w:name="Bookmark_I5M1FVJM2D6NYB0050000400"/>
      <w:bookmarkEnd w:id="56"/>
      <w:bookmarkStart w:id="57" w:name="Bookmark_I5M1FVJM2HM6MF0020000400"/>
      <w:bookmarkEnd w:id="57"/>
      <w:r>
        <w:rPr>
          <w:rFonts w:ascii="arial" w:eastAsia="arial" w:hAnsi="arial" w:cs="arial"/>
          <w:b w:val="0"/>
          <w:i w:val="0"/>
          <w:strike w:val="0"/>
          <w:noProof w:val="0"/>
          <w:color w:val="000000"/>
          <w:position w:val="0"/>
          <w:sz w:val="18"/>
          <w:u w:val="none"/>
          <w:vertAlign w:val="baseline"/>
        </w:rPr>
        <w:t xml:space="preserve">Plaintiffs rely heavily on </w:t>
      </w:r>
      <w:bookmarkStart w:id="58" w:name="Bookmark_I5M1FVJM2D6NYB0040000400"/>
      <w:bookmarkEnd w:id="58"/>
      <w:hyperlink r:id="rId1" w:history="1">
        <w:r>
          <w:rPr>
            <w:rFonts w:ascii="arial" w:eastAsia="arial" w:hAnsi="arial" w:cs="arial"/>
            <w:b w:val="0"/>
            <w:i/>
            <w:strike w:val="0"/>
            <w:noProof w:val="0"/>
            <w:color w:val="0077CC"/>
            <w:position w:val="0"/>
            <w:sz w:val="18"/>
            <w:u w:val="single"/>
            <w:vertAlign w:val="baseline"/>
          </w:rPr>
          <w:t xml:space="preserve">In re Vitamin C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Litigation</w:t>
        </w:r>
      </w:hyperlink>
      <w:hyperlink r:id="rId1" w:history="1">
        <w:r>
          <w:rPr>
            <w:rFonts w:ascii="arial" w:eastAsia="arial" w:hAnsi="arial" w:cs="arial"/>
            <w:b w:val="0"/>
            <w:i/>
            <w:strike w:val="0"/>
            <w:noProof w:val="0"/>
            <w:color w:val="0077CC"/>
            <w:position w:val="0"/>
            <w:sz w:val="18"/>
            <w:u w:val="single"/>
            <w:vertAlign w:val="baseline"/>
          </w:rPr>
          <w:t>, 904 F. Supp. 2d 310 (E.D.N.Y. 2012)</w:t>
        </w:r>
      </w:hyperlink>
      <w:r>
        <w:rPr>
          <w:rFonts w:ascii="arial" w:eastAsia="arial" w:hAnsi="arial" w:cs="arial"/>
          <w:b w:val="0"/>
          <w:i w:val="0"/>
          <w:strike w:val="0"/>
          <w:noProof w:val="0"/>
          <w:color w:val="000000"/>
          <w:position w:val="0"/>
          <w:sz w:val="18"/>
          <w:u w:val="none"/>
          <w:vertAlign w:val="baseline"/>
        </w:rPr>
        <w:t xml:space="preserve">, for similar reasoning. </w:t>
      </w:r>
      <w:bookmarkStart w:id="59" w:name="Bookmark_I5M1FVJM2HM6MF0040000400"/>
      <w:bookmarkEnd w:id="59"/>
      <w:r>
        <w:rPr>
          <w:rFonts w:ascii="arial" w:eastAsia="arial" w:hAnsi="arial" w:cs="arial"/>
          <w:b w:val="0"/>
          <w:i w:val="0"/>
          <w:strike w:val="0"/>
          <w:noProof w:val="0"/>
          <w:color w:val="000000"/>
          <w:position w:val="0"/>
          <w:sz w:val="18"/>
          <w:u w:val="none"/>
          <w:vertAlign w:val="baseline"/>
        </w:rPr>
        <w:t xml:space="preserve">In that case, "[b]oth parties agree[d] that the vitamin C at issue was bought overseas by foreign purchasers and shipped into the United States." </w:t>
      </w:r>
      <w:bookmarkStart w:id="60" w:name="Bookmark_I5M1FVJM2HM6MF0010000400"/>
      <w:bookmarkEnd w:id="60"/>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316-17</w:t>
        </w:r>
      </w:hyperlink>
      <w:r>
        <w:rPr>
          <w:rFonts w:ascii="arial" w:eastAsia="arial" w:hAnsi="arial" w:cs="arial"/>
          <w:b w:val="0"/>
          <w:i w:val="0"/>
          <w:strike w:val="0"/>
          <w:noProof w:val="0"/>
          <w:color w:val="000000"/>
          <w:position w:val="0"/>
          <w:sz w:val="18"/>
          <w:u w:val="none"/>
          <w:vertAlign w:val="baseline"/>
        </w:rPr>
        <w:t xml:space="preserve">. The trial court held that the "relevant inquiry is whether the defendants' alleged anticompetitive behavior 'was directed at an import market,'" and concluded that it was because the complaint alleged conspiracy meetings and conversations "in which the price, volume of sales and exports to the United States, and markets for vitamins were discussed and agreed upon."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But the Second Circuit recently vacated the judgment in the case and remanded it for dismissal after concluding that the trial court should have declined jurisdiction under principles of international comity. </w:t>
      </w:r>
      <w:bookmarkStart w:id="61" w:name="Bookmark_I5M1FVJM2HM6MF0040000400_2"/>
      <w:bookmarkEnd w:id="61"/>
      <w:bookmarkStart w:id="62" w:name="Bookmark_I5M1FVJM2HM6MF0030000400"/>
      <w:bookmarkEnd w:id="62"/>
      <w:hyperlink r:id="rId2" w:history="1">
        <w:r>
          <w:rPr>
            <w:rFonts w:ascii="arial" w:eastAsia="arial" w:hAnsi="arial" w:cs="arial"/>
            <w:b w:val="0"/>
            <w:i/>
            <w:strike w:val="0"/>
            <w:noProof w:val="0"/>
            <w:color w:val="0077CC"/>
            <w:position w:val="0"/>
            <w:sz w:val="18"/>
            <w:u w:val="single"/>
            <w:vertAlign w:val="baseline"/>
          </w:rPr>
          <w:t xml:space="preserve">In re Vitamin C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No. 13-4791-cv, 837 F.3d 175, 2016 U.S. App. LEXIS 17135, 2016 WL 5017312 (2d Cir. Sept. 20, 2016)</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1" w:name="Bookmark_fnpara_2"/>
      <w:bookmarkEnd w:id="71"/>
      <w:r>
        <w:rPr>
          <w:rFonts w:ascii="arial" w:eastAsia="arial" w:hAnsi="arial" w:cs="arial"/>
          <w:b w:val="0"/>
          <w:i w:val="0"/>
          <w:strike w:val="0"/>
          <w:noProof w:val="0"/>
          <w:color w:val="000000"/>
          <w:position w:val="0"/>
          <w:sz w:val="18"/>
          <w:u w:val="none"/>
          <w:vertAlign w:val="baseline"/>
        </w:rPr>
        <w:t xml:space="preserve">Interestingly, the circuit also approved a jury instruction in </w:t>
      </w:r>
      <w:r>
        <w:rPr>
          <w:rFonts w:ascii="arial" w:eastAsia="arial" w:hAnsi="arial" w:cs="arial"/>
          <w:b w:val="0"/>
          <w:i/>
          <w:strike w:val="0"/>
          <w:noProof w:val="0"/>
          <w:color w:val="000000"/>
          <w:position w:val="0"/>
          <w:sz w:val="18"/>
          <w:u w:val="none"/>
          <w:vertAlign w:val="baseline"/>
        </w:rPr>
        <w:t>Hsiung</w:t>
      </w:r>
      <w:r>
        <w:rPr>
          <w:rFonts w:ascii="arial" w:eastAsia="arial" w:hAnsi="arial" w:cs="arial"/>
          <w:b w:val="0"/>
          <w:i w:val="0"/>
          <w:strike w:val="0"/>
          <w:noProof w:val="0"/>
          <w:color w:val="000000"/>
          <w:position w:val="0"/>
          <w:sz w:val="18"/>
          <w:u w:val="none"/>
          <w:vertAlign w:val="baseline"/>
        </w:rPr>
        <w:t xml:space="preserve"> which included the element that "the members of the conspiracy engaged in one or both of the following activities: (A) fixing the price of TFT-LCD panels </w:t>
      </w:r>
      <w:r>
        <w:rPr>
          <w:rFonts w:ascii="arial" w:eastAsia="arial" w:hAnsi="arial" w:cs="arial"/>
          <w:b w:val="0"/>
          <w:i/>
          <w:strike w:val="0"/>
          <w:noProof w:val="0"/>
          <w:color w:val="000000"/>
          <w:position w:val="0"/>
          <w:sz w:val="18"/>
          <w:u w:val="none"/>
          <w:vertAlign w:val="baseline"/>
        </w:rPr>
        <w:t>targeted</w:t>
      </w:r>
      <w:r>
        <w:rPr>
          <w:rFonts w:ascii="arial" w:eastAsia="arial" w:hAnsi="arial" w:cs="arial"/>
          <w:b w:val="0"/>
          <w:i w:val="0"/>
          <w:strike w:val="0"/>
          <w:noProof w:val="0"/>
          <w:color w:val="000000"/>
          <w:position w:val="0"/>
          <w:sz w:val="18"/>
          <w:u w:val="none"/>
          <w:vertAlign w:val="baseline"/>
        </w:rPr>
        <w:t xml:space="preserve"> by the participants to be sold in the United States or for delivery to the United States . . . ." </w:t>
      </w:r>
      <w:bookmarkStart w:id="72" w:name="Bookmark_I5M1FVJM28T4J30010000400"/>
      <w:bookmarkEnd w:id="72"/>
      <w:r>
        <w:rPr>
          <w:rFonts w:ascii="arial" w:eastAsia="arial" w:hAnsi="arial" w:cs="arial"/>
          <w:b/>
          <w:i/>
          <w:strike w:val="0"/>
          <w:noProof w:val="0"/>
          <w:color w:val="000000"/>
          <w:position w:val="0"/>
          <w:sz w:val="18"/>
          <w:u w:val="none"/>
          <w:vertAlign w:val="baseline"/>
        </w:rPr>
        <w:t>778 F.3d at 748</w:t>
      </w:r>
      <w:r>
        <w:rPr>
          <w:rFonts w:ascii="arial" w:eastAsia="arial" w:hAnsi="arial" w:cs="arial"/>
          <w:b w:val="0"/>
          <w:i w:val="0"/>
          <w:strike w:val="0"/>
          <w:noProof w:val="0"/>
          <w:color w:val="000000"/>
          <w:position w:val="0"/>
          <w:sz w:val="18"/>
          <w:u w:val="none"/>
          <w:vertAlign w:val="baseline"/>
        </w:rPr>
        <w:t xml:space="preserve"> (emphasis added).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Capacitors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V4-C321-F04C-T3NH-00000-00&amp;context=" TargetMode="External" /><Relationship Id="rId11" Type="http://schemas.openxmlformats.org/officeDocument/2006/relationships/hyperlink" Target="https://advance.lexis.com/api/document?collection=cases&amp;id=urn:contentItem:5G36-BVH1-F04C-T011-00000-00&amp;context=" TargetMode="External" /><Relationship Id="rId12" Type="http://schemas.openxmlformats.org/officeDocument/2006/relationships/hyperlink" Target="https://advance.lexis.com/api/document?collection=statutes-legislation&amp;id=urn:contentItem:4YF7-GKH1-NRF4-40MY-00000-00&amp;context=" TargetMode="External" /><Relationship Id="rId13" Type="http://schemas.openxmlformats.org/officeDocument/2006/relationships/hyperlink" Target="https://advance.lexis.com/api/document?collection=cases&amp;id=urn:contentItem:8302-7MB1-652R-10X0-00000-00&amp;context=" TargetMode="External" /><Relationship Id="rId14" Type="http://schemas.openxmlformats.org/officeDocument/2006/relationships/hyperlink" Target="https://advance.lexis.com/api/document?collection=cases&amp;id=urn:contentItem:4CM8-9WB0-004B-Y00G-00000-00&amp;context=" TargetMode="External" /><Relationship Id="rId15" Type="http://schemas.openxmlformats.org/officeDocument/2006/relationships/hyperlink" Target="https://advance.lexis.com/api/document?collection=statutes-legislation&amp;id=urn:contentItem:5GYC-2421-6N19-F165-00000-00&amp;context=" TargetMode="External" /><Relationship Id="rId16" Type="http://schemas.openxmlformats.org/officeDocument/2006/relationships/hyperlink" Target="https://advance.lexis.com/api/document?collection=statutes-legislation&amp;id=urn:contentItem:8JD7-4G92-8T6X-702K-00000-00&amp;context=" TargetMode="External" /><Relationship Id="rId17" Type="http://schemas.openxmlformats.org/officeDocument/2006/relationships/hyperlink" Target="https://advance.lexis.com/api/document?collection=cases&amp;id=urn:contentItem:5962-TMM1-F04D-C027-00000-00&amp;context=" TargetMode="External" /><Relationship Id="rId18" Type="http://schemas.openxmlformats.org/officeDocument/2006/relationships/hyperlink" Target="https://advance.lexis.com/api/document?collection=statutes-legislation&amp;id=urn:contentItem:5JFB-2YX1-DYB7-W1MV-00000-00&amp;context=" TargetMode="External" /><Relationship Id="rId19" Type="http://schemas.openxmlformats.org/officeDocument/2006/relationships/hyperlink" Target="https://advance.lexis.com/api/document?collection=statutes-legislation&amp;id=urn:contentItem:5JFB-2YX1-DYB7-W1S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82N3-D0V1-652K-103G-00000-00&amp;context=" TargetMode="External" /><Relationship Id="rId21" Type="http://schemas.openxmlformats.org/officeDocument/2006/relationships/hyperlink" Target="http://www.merriam-webster.com/dictionary/import" TargetMode="External" /><Relationship Id="rId22" Type="http://schemas.openxmlformats.org/officeDocument/2006/relationships/hyperlink" Target="https://advance.lexis.com/api/document?collection=cases&amp;id=urn:contentItem:4GH4-D2Y0-0038-X3TP-00000-00&amp;context=" TargetMode="External" /><Relationship Id="rId23" Type="http://schemas.openxmlformats.org/officeDocument/2006/relationships/hyperlink" Target="https://advance.lexis.com/api/document?collection=cases&amp;id=urn:contentItem:3S4X-9DJ0-003B-S1WY-00000-00&amp;context=" TargetMode="External" /><Relationship Id="rId24" Type="http://schemas.openxmlformats.org/officeDocument/2006/relationships/hyperlink" Target="https://advance.lexis.com/api/document?collection=statutes-legislation&amp;id=urn:contentItem:4YF7-GR31-NRF4-44XT-00000-00&amp;context=" TargetMode="External" /><Relationship Id="rId25" Type="http://schemas.openxmlformats.org/officeDocument/2006/relationships/hyperlink" Target="https://advance.lexis.com/api/document?collection=cases&amp;id=urn:contentItem:5HTW-DDK1-F04K-V1DH-00000-00&amp;context=" TargetMode="External" /><Relationship Id="rId26" Type="http://schemas.openxmlformats.org/officeDocument/2006/relationships/hyperlink" Target="https://advance.lexis.com/api/document?collection=cases&amp;id=urn:contentItem:52BW-VJC1-JCNB-319D-00000-00&amp;context=" TargetMode="External" /><Relationship Id="rId27" Type="http://schemas.openxmlformats.org/officeDocument/2006/relationships/hyperlink" Target="https://advance.lexis.com/api/document?collection=cases&amp;id=urn:contentItem:3S4X-88S0-003B-S1YG-00000-00&amp;context=" TargetMode="External" /><Relationship Id="rId28" Type="http://schemas.openxmlformats.org/officeDocument/2006/relationships/hyperlink" Target="https://advance.lexis.com/api/document?collection=cases&amp;id=urn:contentItem:3S4N-CGY0-003B-62YF-00000-00&amp;context=" TargetMode="External" /><Relationship Id="rId29" Type="http://schemas.openxmlformats.org/officeDocument/2006/relationships/hyperlink" Target="https://advance.lexis.com/api/document?collection=cases&amp;id=urn:contentItem:3RX6-JDB0-003D-J05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58J-C291-F04J-60SH-00000-00&amp;context=" TargetMode="External" /><Relationship Id="rId31"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KTS-D751-J9X6-H4W8-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733-SNM1-F04F-021T-00000-00&amp;context=" TargetMode="External" /><Relationship Id="rId2" Type="http://schemas.openxmlformats.org/officeDocument/2006/relationships/hyperlink" Target="https://advance.lexis.com/api/document?collection=cases&amp;id=urn:contentItem:5KRV-JFJ1-F04K-J4C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Capacitors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71344165</vt:lpwstr>
  </property>
  <property fmtid="{D5CDD505-2E9C-101B-9397-08002B2CF9AE}" pid="3" name="LADocCount">
    <vt:lpwstr>1</vt:lpwstr>
  </property>
  <property fmtid="{D5CDD505-2E9C-101B-9397-08002B2CF9AE}" pid="4" name="UserPermID">
    <vt:lpwstr>urn:user:PA185916758</vt:lpwstr>
  </property>
</Properties>
</file>