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Lipitor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2016, Argued; January 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14-4632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722 Fed. Appx. 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P80,242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266751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RP HEALTHCARE, INC.; CHIMES PHARMACY, INC.; JAMES CLAYWORTH, R.Ph., d/b/a Clayworth Pharmacy; MARIN APOTHECARIES, INC., d/b/a Ross Valley Pharmacy; GOLDEN GATE PHARMACY SERVICES, INC., d/b/a Golden Gate Pharmacy; PEDIATRIC CARE PHARMACY, INC.; MEYERS PHARMACY, INC.; TONY MAVRANTONIS R. PH., d/b/a Jack's Drugs; TILLEY APOTHECARIES INC, d/b/a Zweber's Apothecary, Appellants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PRECEDENTIAL OPINION UNDER THIRD CIRCUIT INTERNAL OPERATING PROCEDURE RULE 5.7. SUCH OPINIONS ARE NOT REGARDED AS PRECEDENTS WHICH BIND THE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3"/>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United States District. (D.N.J. No. 3-12-cv-05129) / (MDL 2332) / (D.N.J. No. 12-cv-02389). District Judge: Honorable Peter G. Sheridan.</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RP Healthcare, Inc. v. Pfizer, Inc., 2017 U.S. Dist. LEXIS 162380 (D.N.J., Sept. 28, 2017)</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personal jurisdiction, parties, infringer</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involving a particular pharmaceutical product and a settlement agreement, with respect to a particular group of California pharmacists who based their claim exclusively on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district court properly held that it had diversity jurisdiction under </w:t>
      </w:r>
      <w:r>
        <w:rPr>
          <w:rFonts w:ascii="arial" w:eastAsia="arial" w:hAnsi="arial" w:cs="arial"/>
          <w:b w:val="0"/>
          <w:i/>
          <w:strike w:val="0"/>
          <w:noProof w:val="0"/>
          <w:color w:val="000000"/>
          <w:position w:val="0"/>
          <w:sz w:val="20"/>
          <w:u w:val="none"/>
          <w:vertAlign w:val="baseline"/>
        </w:rPr>
        <w:t>28 U.S.C.S. § 1332</w:t>
      </w:r>
      <w:r>
        <w:rPr>
          <w:rFonts w:ascii="arial" w:eastAsia="arial" w:hAnsi="arial" w:cs="arial"/>
          <w:b w:val="0"/>
          <w:i w:val="0"/>
          <w:strike w:val="0"/>
          <w:noProof w:val="0"/>
          <w:color w:val="000000"/>
          <w:position w:val="0"/>
          <w:sz w:val="20"/>
          <w:u w:val="none"/>
          <w:vertAlign w:val="baseline"/>
        </w:rPr>
        <w:t xml:space="preserve"> because even though there was no basis for federal jurisdiction earlier in the proceedings, by the time of final judgment, there was complete diversity since the parties stipulated that, at the time of final judgment, all of the pharmacist plaintiffs were citizens of California and none of the defendants were citizens of California; [2]-The pharmacists' complaint was properly dismissed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because under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reverse settlement could not be challenged on a per se basis.</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 district court may exercise jurisdiction if, at the time of final judgment, there is a proper basis. This is the case even if, at an earlier point in the proceedings, there was no basis for federal jurisdiction.</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Settlements, Settlement Agreements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 reverse settlement occurs (almost exclusively in the pharmaceutical sector) when a patent holder sues an alleged infringer and the suit is settled with a large payment from the patent holder to the infringer. Such a settlement is usually accompanied by a promise from the infringer to exit the market for a certain length of time. A distinguishing feature of a reverse settlement is that the bargained-for abstention period falls within the term of the patent at issue, when the patent holder would normally enjoy a government-conferred monopoly. Absent the patina of patent protection, the agreement would be nakedly anti-competitive.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Settlements, Settlement Agreements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Under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reverse settlement may not be attacked on a per se basis.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Settlements, Settlement Agreements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In Actavis, the U.S. Court held that, in general,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are both relevant in determining the proper level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conferred by a patent, and, in particular, reverse settlements implicate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when their payments are large and unjustified.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Following a motion for dismissal under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the burden is on the plaintiff to prove personal jurisdiction by a preponderance of the evidence.</w:t>
      </w:r>
    </w:p>
    <w:p>
      <w:pPr>
        <w:keepNext w:val="0"/>
        <w:widowControl w:val="0"/>
        <w:spacing w:before="240" w:after="0" w:line="260" w:lineRule="atLeast"/>
        <w:ind w:left="0" w:right="0" w:firstLine="0"/>
        <w:jc w:val="left"/>
      </w:pPr>
      <w:bookmarkStart w:id="22" w:name="Counsel"/>
      <w:bookmarkEnd w:id="2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Joseph M. Alioto, Esq. [ARGUED], Angelina Alioto-Grace, Esq., Theresa Driscoll Moore, Esq., Alioto Law Firm, San Francisco, CA; James M. Dombroski, Esq., Petaluma, CA; Timothy A. C. May, Esq., Gil D. Messina, Esq., Messina Law Firm, Holmdel, NJ; Jeffery K. Perkins, Esq., Tiburon, CA; Tom Pier, Esq. Alioto &amp; Alioto, San Francisco, CA; Ekaterina Schoenefeld, Esq., Princeton, NJ, Counsel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D. Janow, Esq., John C. O'Quinn, Esq., Kirkland &amp; Ellis, Washington, DC; Jay P. Lefkowitz, Esq. [ARGUED], Kirkland &amp; Ellis, New York, NY; Joseph Serino, Jr., Esq., Latham &amp; Watkins, New York, NY, Counsel for Appellees Ranbaxy Pharmaceuticals Inc., Ranbaxy Laboratories Ltd., Ranbaxy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Dimitrios T. Drivas, Esq., Raj S. Gandesha, Esq., Bryan D. Gant, Esq., Sheryn E. George, Esq., Robert A. Milne, Esq. [ARGUED], Brendan G. Woodard, Esq., White &amp; Case, New York, NY; Eleonore Ofosu-Antwi, Esq., Liza M. Walsh, Esq., Walsh Pizzi O'Reilly &amp; Falanga, Newark, NJ; Rukhsanah Singh, Esq., Connell Foley, Newark, NJ, Counsel for Appellees Warner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Lambert Co. LLC, Warner Lambert Co., Pfizer Ireland Pharmaceuticals, Pfizer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Katherine A. Helm, Esq., Noah M. Leibowitz, Esq. [ARGUED], Simpson Thacher &amp; Bartlett, New York, NY; David C. Kistler, Esq., Blank Rome, Princeton, NJ, Counsel for Appellees Dai Ichi Sankyo Co. Ltd., Dai Ichi Sankyo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S. Goldberg, Esq., Shook Hardy &amp; Bacon, Washington, DC, Counsel for Amicus Appellee American Tort Reform Association, Pharmaceutical Research and Manufacturers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J. Curtin, Esq., William A. Rakoczy, Esq., Rakoczy Molino Mazzochi &amp; Siwik, Chicago, IL, Counsel for Proposed Amicus-Appellee.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Steve D. Shadowen, Esq., Hilliard &amp; Shadowen, Austin, TX, Counsel for Amicus Appellants 48 Law Economic and Business Professors and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w:t>
      </w:r>
    </w:p>
    <w:p>
      <w:pPr>
        <w:keepNext w:val="0"/>
        <w:widowControl w:val="0"/>
        <w:spacing w:before="240" w:after="0" w:line="260" w:lineRule="atLeast"/>
        <w:ind w:left="0" w:right="0" w:firstLine="0"/>
        <w:jc w:val="left"/>
      </w:pPr>
      <w:bookmarkStart w:id="23" w:name="Judges"/>
      <w:bookmarkEnd w:id="2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SMITH</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and FISHER,</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2"/>
        <w:t xml:space="preserve">*</w:t>
      </w:r>
    </w:p>
    <w:p>
      <w:pPr>
        <w:keepNext w:val="0"/>
        <w:widowControl w:val="0"/>
        <w:spacing w:before="200" w:after="0" w:line="260" w:lineRule="atLeast"/>
        <w:ind w:left="0" w:right="0" w:firstLine="0"/>
        <w:jc w:val="both"/>
      </w:pPr>
      <w:bookmarkStart w:id="28" w:name="Bookmark_para_4"/>
      <w:bookmarkEnd w:id="28"/>
      <w:r>
        <w:rPr>
          <w:rFonts w:ascii="arial" w:eastAsia="arial" w:hAnsi="arial" w:cs="arial"/>
          <w:b w:val="0"/>
          <w:i w:val="0"/>
          <w:strike w:val="0"/>
          <w:noProof w:val="0"/>
          <w:color w:val="000000"/>
          <w:position w:val="0"/>
          <w:sz w:val="20"/>
          <w:u w:val="none"/>
          <w:vertAlign w:val="baseline"/>
        </w:rPr>
        <w:t>PER CURIAM</w:t>
      </w:r>
    </w:p>
    <w:p>
      <w:pPr>
        <w:keepNext w:val="0"/>
        <w:widowControl w:val="0"/>
        <w:spacing w:before="200" w:after="0" w:line="260" w:lineRule="atLeast"/>
        <w:ind w:left="0" w:right="0" w:firstLine="0"/>
        <w:jc w:val="both"/>
      </w:pPr>
      <w:bookmarkStart w:id="29" w:name="Bookmark_para_5"/>
      <w:bookmarkEnd w:id="29"/>
      <w:bookmarkStart w:id="30" w:name="Bookmark_I5RHJVJM2D6NGX0040000400"/>
      <w:bookmarkEnd w:id="30"/>
      <w:r>
        <w:rPr>
          <w:rFonts w:ascii="arial" w:eastAsia="arial" w:hAnsi="arial" w:cs="arial"/>
          <w:b w:val="0"/>
          <w:i w:val="0"/>
          <w:strike w:val="0"/>
          <w:noProof w:val="0"/>
          <w:color w:val="000000"/>
          <w:position w:val="0"/>
          <w:sz w:val="20"/>
          <w:u w:val="none"/>
          <w:vertAlign w:val="baseline"/>
        </w:rPr>
        <w:t xml:space="preserve">The present matter is one part of the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involving the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pharmaceutical product Lipitor and a settlement agreement between Pfizer Inc. and Ranbaxy Inc. This Court has already issued two precedential opinions in this case.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was jurisdictional in focus and we concluded that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did not "arise under" patent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Consequently, we denied the Defendants' motions for transfer to the Federal Circuit.</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In the subsequent merits opinion, </w:t>
      </w:r>
      <w:r>
        <w:rPr>
          <w:rFonts w:ascii="arial" w:eastAsia="arial" w:hAnsi="arial" w:cs="arial"/>
          <w:b w:val="0"/>
          <w:i/>
          <w:strike w:val="0"/>
          <w:noProof w:val="0"/>
          <w:color w:val="000000"/>
          <w:position w:val="0"/>
          <w:sz w:val="20"/>
          <w:u w:val="none"/>
          <w:vertAlign w:val="baseline"/>
        </w:rPr>
        <w:t>Lipitor IV</w:t>
      </w:r>
      <w:r>
        <w:rPr>
          <w:rFonts w:ascii="arial" w:eastAsia="arial" w:hAnsi="arial" w:cs="arial"/>
          <w:b w:val="0"/>
          <w:i w:val="0"/>
          <w:strike w:val="0"/>
          <w:noProof w:val="0"/>
          <w:color w:val="000000"/>
          <w:position w:val="0"/>
          <w:sz w:val="20"/>
          <w:u w:val="none"/>
          <w:vertAlign w:val="baseline"/>
        </w:rPr>
        <w:t>, we reversed the District Court's dismissal of the Plaintiffs' consolidated complaints.</w:t>
      </w:r>
      <w:r>
        <w:rPr>
          <w:rFonts w:ascii="arial" w:eastAsia="arial" w:hAnsi="arial" w:cs="arial"/>
          <w:vertAlign w:val="superscript"/>
        </w:rPr>
        <w:footnoteReference w:customMarkFollows="1" w:id="5"/>
        <w:t xml:space="preserve">3</w:t>
      </w:r>
    </w:p>
    <w:p>
      <w:pPr>
        <w:keepNext w:val="0"/>
        <w:widowControl w:val="0"/>
        <w:spacing w:before="200" w:after="0" w:line="260" w:lineRule="atLeast"/>
        <w:ind w:left="0" w:right="0" w:firstLine="0"/>
        <w:jc w:val="both"/>
      </w:pPr>
      <w:bookmarkStart w:id="37" w:name="Bookmark_para_6"/>
      <w:bookmarkEnd w:id="37"/>
      <w:bookmarkStart w:id="38" w:name="Bookmark_I5RHJVJM28T4B10010000400"/>
      <w:bookmarkEnd w:id="38"/>
      <w:r>
        <w:rPr>
          <w:rFonts w:ascii="arial" w:eastAsia="arial" w:hAnsi="arial" w:cs="arial"/>
          <w:b w:val="0"/>
          <w:i w:val="0"/>
          <w:strike w:val="0"/>
          <w:noProof w:val="0"/>
          <w:color w:val="000000"/>
          <w:position w:val="0"/>
          <w:sz w:val="20"/>
          <w:u w:val="none"/>
          <w:vertAlign w:val="baseline"/>
        </w:rPr>
        <w:t xml:space="preserve">The present Plaintiffs-a group of California pharmacists collectively referred to as RP Healthcare-constitute a distinct party within the broader Lipitor litigation, and their complaint presents unique legal questions, both substantive and jurisdictional. In contrast to the other Plaintiffs, RP Healthcare bases its claim exclusively on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w:t>
      </w:r>
      <w:hyperlink r:id="rId19"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Therefore, whether we may exercise jurisdiction turns on the diversity of the parties.</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we held that the record lacked sufficient evidence to determine the citizenship of each Defendant, so we directed the District Court to conduct limited discovery on that issue.</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Of course, with the jurisdictional question undecided, we could not reach the merits of RP Healthcare's complaint in </w:t>
      </w:r>
      <w:r>
        <w:rPr>
          <w:rFonts w:ascii="arial" w:eastAsia="arial" w:hAnsi="arial" w:cs="arial"/>
          <w:b w:val="0"/>
          <w:i/>
          <w:strike w:val="0"/>
          <w:noProof w:val="0"/>
          <w:color w:val="000000"/>
          <w:position w:val="0"/>
          <w:sz w:val="20"/>
          <w:u w:val="none"/>
          <w:vertAlign w:val="baseline"/>
        </w:rPr>
        <w:t>Lipitor IV</w:t>
      </w:r>
      <w:r>
        <w:rPr>
          <w:rFonts w:ascii="arial" w:eastAsia="arial" w:hAnsi="arial" w:cs="arial"/>
          <w:b w:val="0"/>
          <w:i w:val="0"/>
          <w:strike w:val="0"/>
          <w:noProof w:val="0"/>
          <w:color w:val="000000"/>
          <w:position w:val="0"/>
          <w:sz w:val="20"/>
          <w:u w:val="none"/>
          <w:vertAlign w:val="baseline"/>
        </w:rPr>
        <w:t>. On remand, the District Court found that there was complete diversity amongst the parties and upheld jurisdiction on that basis. We will affirm.</w:t>
      </w:r>
    </w:p>
    <w:p>
      <w:pPr>
        <w:keepNext w:val="0"/>
        <w:widowControl w:val="0"/>
        <w:spacing w:before="200" w:after="0" w:line="260" w:lineRule="atLeast"/>
        <w:ind w:left="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Turning to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merits, we will also affirm the District Court's dismissal of RP Healthcare's complaint, but for different reasons. Finally, we will affirm the District Court's ruling that it lacked personal jurisdiction over one of the Defendants, Daiichi Sankyo Company,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Diversity Jurisdiction</w:t>
      </w:r>
    </w:p>
    <w:p>
      <w:pPr>
        <w:keepNext w:val="0"/>
        <w:widowControl w:val="0"/>
        <w:spacing w:before="200" w:after="0" w:line="260" w:lineRule="atLeast"/>
        <w:ind w:left="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 xml:space="preserve">RP Healthcare filed its initial complaint in California state court. Following removal—and transfer by the Judicial Panel on Multidistrict Litigation—the District Court declined to remand the case back to state court, grounding its finding of federal jurisdiction in potential patent defenses of the Defendants. Because federal "arising under" jurisdiction must be based on a plaintiff's complaint, not possible defenses, we observed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that this ruling was in error.</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That did not end our analysis, however, because after the District Court declined to send the case back to state court, but prior to final judgment, RP Healthcare voluntarily dismissed what appeared to be each of the remaining non-diverse Defendants, with the "appeared to be" resulting from the aforementioned uncertainty over the citizenship of several Defendants. Our Order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asked the District Court to resolve this uncertainty.</w:t>
      </w:r>
      <w:r>
        <w:rPr>
          <w:rFonts w:ascii="arial" w:eastAsia="arial" w:hAnsi="arial" w:cs="arial"/>
          <w:b/>
          <w:i w:val="0"/>
          <w:strike w:val="0"/>
          <w:noProof w:val="0"/>
          <w:color w:val="000000"/>
          <w:position w:val="0"/>
          <w:sz w:val="20"/>
          <w:u w:val="none"/>
          <w:vertAlign w:val="baseline"/>
        </w:rPr>
        <w:t> [**5] </w:t>
      </w:r>
      <w:r>
        <w:rPr>
          <w:rFonts w:ascii="arial" w:eastAsia="arial" w:hAnsi="arial" w:cs="arial"/>
          <w:vertAlign w:val="superscript"/>
        </w:rPr>
        <w:footnoteReference w:customMarkFollows="1" w:id="10"/>
        <w:t xml:space="preserve">8</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 xml:space="preserve">Back in the District Court, the parties stipulated that at the time of final judgment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all of the Plaintiffs were citizens of California and none of the Defendants were citizens of California. </w:t>
      </w:r>
      <w:bookmarkStart w:id="48" w:name="Bookmark_I5RHJVJM28T4B10030000400"/>
      <w:bookmarkEnd w:id="48"/>
      <w:bookmarkStart w:id="49" w:name="Bookmark_I5RHJVJM2D6NGY0020000400"/>
      <w:bookmarkEnd w:id="49"/>
      <w:r>
        <w:rPr>
          <w:rFonts w:ascii="arial" w:eastAsia="arial" w:hAnsi="arial" w:cs="arial"/>
          <w:b w:val="0"/>
          <w:i w:val="0"/>
          <w:strike w:val="0"/>
          <w:noProof w:val="0"/>
          <w:color w:val="000000"/>
          <w:position w:val="0"/>
          <w:sz w:val="20"/>
          <w:u w:val="none"/>
          <w:vertAlign w:val="baseline"/>
        </w:rPr>
        <w:t xml:space="preserve">Complete diversity being established, the District Court held that it had jurisdiction under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We agree. As discussed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w:t>
      </w:r>
      <w:bookmarkStart w:id="50" w:name="Bookmark_LNHNREFclscc1"/>
      <w:bookmarkEnd w:id="50"/>
      <w:hyperlink r:id="rId2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a District Court may exercise jurisdiction if, at the time of final judgment, there is a proper basis.</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This is the case even if, at an earlier point in the proceedings, there was no basis for federal jurisdiction.</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RP Healthcare's original remand motion should have been granted for lack of jurisdiction, but, by the time of final judgment, there was complete diversity between the parties. Therefore, the District Court's jurisdiction was ultimately proper, notwithstanding the prior erroneous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RP Healthcare's Complaint</w:t>
      </w:r>
    </w:p>
    <w:p>
      <w:pPr>
        <w:keepNext w:val="0"/>
        <w:widowControl w:val="0"/>
        <w:spacing w:before="200" w:after="0" w:line="260" w:lineRule="atLeast"/>
        <w:ind w:left="0" w:right="0" w:firstLine="0"/>
        <w:jc w:val="both"/>
      </w:pPr>
      <w:bookmarkStart w:id="56" w:name="Bookmark_para_10"/>
      <w:bookmarkEnd w:id="56"/>
      <w:r>
        <w:rPr>
          <w:rFonts w:ascii="arial" w:eastAsia="arial" w:hAnsi="arial" w:cs="arial"/>
          <w:b w:val="0"/>
          <w:i w:val="0"/>
          <w:strike w:val="0"/>
          <w:noProof w:val="0"/>
          <w:color w:val="000000"/>
          <w:position w:val="0"/>
          <w:sz w:val="20"/>
          <w:u w:val="none"/>
          <w:vertAlign w:val="baseline"/>
        </w:rPr>
        <w:t xml:space="preserve">Having established jurisdiction over RP Healthcare's complaint, we may now turn to its merits. Put very briefly, </w:t>
      </w:r>
      <w:bookmarkStart w:id="57" w:name="Bookmark_LNHNREFclscc2"/>
      <w:bookmarkEnd w:id="57"/>
      <w:hyperlink r:id="rId2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a reverse settlement occurs (almost exclusively in the pharmaceutical sector) when a patent holder sues an alleged infringer and the suit is settled with a large payment from the patent holder to the infringer. Such a settlement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usually accompanied by a promise from the infringer to exit the market for a certain length of time. A distinguishing feature of a reverse settlement is that the bargained-for abstention period falls within the term of the patent at issue, when the patent holder would normally enjoy a government-conferred monopoly. Absent the patina of patent protection, the agreement would be nakedly anti-competitive. In this case, Pfizer sued Ranbaxy for infringement of a Lipitor patent and the parties entered into an agreement bearing many of the now-familiar hallmarks of a reverse settlement. RP Healthcare's complaint alleges that this agreement constituted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Cartwright Act.</w:t>
      </w:r>
    </w:p>
    <w:p>
      <w:pPr>
        <w:keepNext w:val="0"/>
        <w:widowControl w:val="0"/>
        <w:spacing w:before="200" w:after="0" w:line="260" w:lineRule="atLeast"/>
        <w:ind w:left="0" w:right="0" w:firstLine="0"/>
        <w:jc w:val="both"/>
      </w:pPr>
      <w:bookmarkStart w:id="58" w:name="Bookmark_para_11"/>
      <w:bookmarkEnd w:id="58"/>
      <w:bookmarkStart w:id="59" w:name="Bookmark_I5RHJVJM2D6NGY0040000400"/>
      <w:bookmarkEnd w:id="59"/>
      <w:bookmarkStart w:id="60" w:name="Bookmark_I5RHJVJM28T4B20010000400"/>
      <w:bookmarkEnd w:id="60"/>
      <w:r>
        <w:rPr>
          <w:rFonts w:ascii="arial" w:eastAsia="arial" w:hAnsi="arial" w:cs="arial"/>
          <w:b w:val="0"/>
          <w:i w:val="0"/>
          <w:strike w:val="0"/>
          <w:noProof w:val="0"/>
          <w:color w:val="000000"/>
          <w:position w:val="0"/>
          <w:sz w:val="20"/>
          <w:u w:val="none"/>
          <w:vertAlign w:val="baseline"/>
        </w:rPr>
        <w:t xml:space="preserve">The District Court previously dismissed the RP Healthcare complaint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the same reason it dismissed those of the other Plaintiffs: its failure to calculate the reasonable value of the alleged "reverse payment" between Pfizer and Ranbaxy. As to those other Plaintiffs, we reversed this dismissal in </w:t>
      </w:r>
      <w:r>
        <w:rPr>
          <w:rFonts w:ascii="arial" w:eastAsia="arial" w:hAnsi="arial" w:cs="arial"/>
          <w:b w:val="0"/>
          <w:i/>
          <w:strike w:val="0"/>
          <w:noProof w:val="0"/>
          <w:color w:val="000000"/>
          <w:position w:val="0"/>
          <w:sz w:val="20"/>
          <w:u w:val="none"/>
          <w:vertAlign w:val="baseline"/>
        </w:rPr>
        <w:t>Lipitor IV</w:t>
      </w:r>
      <w:r>
        <w:rPr>
          <w:rFonts w:ascii="arial" w:eastAsia="arial" w:hAnsi="arial" w:cs="arial"/>
          <w:b w:val="0"/>
          <w:i w:val="0"/>
          <w:strike w:val="0"/>
          <w:noProof w:val="0"/>
          <w:color w:val="000000"/>
          <w:position w:val="0"/>
          <w:sz w:val="20"/>
          <w:u w:val="none"/>
          <w:vertAlign w:val="baseline"/>
        </w:rPr>
        <w:t>, concluding that in reverse settlement cases "[t]he Supreme Court did not require the advanced valuations . . . required by the District Court."</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Throughout this litigation, however,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RP Healthcare has been at pains to stress that it is alleging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not a reverse settlement claim under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so the same reasoning ought not to apply. We agree, and this distinction is fatal to its claim. </w:t>
      </w:r>
      <w:bookmarkStart w:id="65" w:name="Bookmark_LNHNREFclscc3"/>
      <w:bookmarkEnd w:id="65"/>
      <w:hyperlink r:id="rId2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Under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reverse settlement may not be attacked on a per se basis, so the District Court's dismissal was proper.</w:t>
      </w:r>
    </w:p>
    <w:p>
      <w:pPr>
        <w:keepNext w:val="0"/>
        <w:widowControl w:val="0"/>
        <w:spacing w:before="200" w:after="0" w:line="260" w:lineRule="atLeast"/>
        <w:ind w:left="0" w:right="0" w:firstLine="0"/>
        <w:jc w:val="both"/>
      </w:pPr>
      <w:bookmarkStart w:id="66" w:name="Bookmark_para_12"/>
      <w:bookmarkEnd w:id="66"/>
      <w:bookmarkStart w:id="67" w:name="Bookmark_I5RHJVJM28T4B20030000400"/>
      <w:bookmarkEnd w:id="67"/>
      <w:bookmarkStart w:id="68" w:name="Bookmark_I5RHJVJM28T4B20050000400"/>
      <w:bookmarkEnd w:id="68"/>
      <w:bookmarkStart w:id="69" w:name="Bookmark_I620X54JJ1M0003T68C00001"/>
      <w:bookmarkEnd w:id="69"/>
      <w:bookmarkStart w:id="70" w:name="Bookmark_I5RHJVJM2HM66V0020000400"/>
      <w:bookmarkEnd w:id="70"/>
      <w:r>
        <w:rPr>
          <w:rFonts w:ascii="arial" w:eastAsia="arial" w:hAnsi="arial" w:cs="arial"/>
          <w:b w:val="0"/>
          <w:i w:val="0"/>
          <w:strike w:val="0"/>
          <w:noProof w:val="0"/>
          <w:color w:val="000000"/>
          <w:position w:val="0"/>
          <w:sz w:val="20"/>
          <w:u w:val="none"/>
          <w:vertAlign w:val="baseline"/>
        </w:rPr>
        <w:t xml:space="preserve">As we observed in </w:t>
      </w:r>
      <w:r>
        <w:rPr>
          <w:rFonts w:ascii="arial" w:eastAsia="arial" w:hAnsi="arial" w:cs="arial"/>
          <w:b w:val="0"/>
          <w:i/>
          <w:strike w:val="0"/>
          <w:noProof w:val="0"/>
          <w:color w:val="000000"/>
          <w:position w:val="0"/>
          <w:sz w:val="20"/>
          <w:u w:val="none"/>
          <w:vertAlign w:val="baseline"/>
        </w:rPr>
        <w:t>Lipitor IV</w:t>
      </w:r>
      <w:r>
        <w:rPr>
          <w:rFonts w:ascii="arial" w:eastAsia="arial" w:hAnsi="arial" w:cs="arial"/>
          <w:b w:val="0"/>
          <w:i w:val="0"/>
          <w:strike w:val="0"/>
          <w:noProof w:val="0"/>
          <w:color w:val="000000"/>
          <w:position w:val="0"/>
          <w:sz w:val="20"/>
          <w:u w:val="none"/>
          <w:vertAlign w:val="baseline"/>
        </w:rPr>
        <w:t xml:space="preserve">, "[p]rior to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several courts had held that [reverse settlement] agreements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so long as the asserted anticompetitive effects fell within the scope of the patent."</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w:t>
      </w:r>
      <w:bookmarkStart w:id="73" w:name="Bookmark_LNHNREFclscc4"/>
      <w:bookmarkEnd w:id="73"/>
      <w:hyperlink r:id="rId2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Court rejected this categorical rule and held that, in general,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are both relevant"</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in determining the proper level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conferred by a patent, and, in particular, reverse settlements implicate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when their payments are "large and unjustified."</w:t>
      </w:r>
      <w:r>
        <w:rPr>
          <w:rFonts w:ascii="arial" w:eastAsia="arial" w:hAnsi="arial" w:cs="arial"/>
          <w:vertAlign w:val="superscript"/>
        </w:rPr>
        <w:footnoteReference w:customMarkFollows="1" w:id="17"/>
        <w:t xml:space="preserve">15</w:t>
      </w:r>
    </w:p>
    <w:p>
      <w:pPr>
        <w:keepNext w:val="0"/>
        <w:widowControl w:val="0"/>
        <w:spacing w:before="240" w:after="0" w:line="260" w:lineRule="atLeast"/>
        <w:ind w:left="0" w:right="0" w:firstLine="0"/>
        <w:jc w:val="both"/>
      </w:pPr>
      <w:bookmarkStart w:id="78" w:name="Bookmark_para_13"/>
      <w:bookmarkEnd w:id="78"/>
      <w:bookmarkStart w:id="79" w:name="Bookmark_I620X54KTRM0003T68C00006"/>
      <w:bookmarkEnd w:id="79"/>
      <w:bookmarkStart w:id="80" w:name="Bookmark_I5RHJVJM2HM66V0040000400"/>
      <w:bookmarkEnd w:id="80"/>
      <w:bookmarkStart w:id="81" w:name="Bookmark_I5RHJVJM2HM66W0010000400"/>
      <w:bookmarkEnd w:id="81"/>
      <w:bookmarkStart w:id="82" w:name="Bookmark_I5RHJVJM2HM66W0030000400"/>
      <w:bookmarkEnd w:id="82"/>
      <w:bookmarkStart w:id="83" w:name="Bookmark_I5RHJVJM2HM66W0050000400"/>
      <w:bookmarkEnd w:id="83"/>
      <w:r>
        <w:rPr>
          <w:rFonts w:ascii="arial" w:eastAsia="arial" w:hAnsi="arial" w:cs="arial"/>
          <w:b w:val="0"/>
          <w:i w:val="0"/>
          <w:strike w:val="0"/>
          <w:noProof w:val="0"/>
          <w:color w:val="000000"/>
          <w:position w:val="0"/>
          <w:sz w:val="20"/>
          <w:u w:val="none"/>
          <w:vertAlign w:val="baseline"/>
        </w:rPr>
        <w:t xml:space="preserve">The California Supreme Court applied the reasoning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the Cartwright Act in </w:t>
      </w:r>
      <w:r>
        <w:rPr>
          <w:rFonts w:ascii="arial" w:eastAsia="arial" w:hAnsi="arial" w:cs="arial"/>
          <w:b w:val="0"/>
          <w:i/>
          <w:strike w:val="0"/>
          <w:noProof w:val="0"/>
          <w:color w:val="000000"/>
          <w:position w:val="0"/>
          <w:sz w:val="20"/>
          <w:u w:val="none"/>
          <w:vertAlign w:val="baseline"/>
        </w:rPr>
        <w:t>In re Cipro Cases I &amp;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Of particular importance to the RP Healthcare complaint, the California Supreme Court first determined what degree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scrutiny should apply to a reverse settlement. Under California law, "certain categories of agreements or practices that can be said to always lack redeeming value . . . [are] per se illegal."</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However, reverse settlements do not fall within the per se category and must instead be scrutinized under a structured rule of reason analysis.</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Because the agreement between Pfizer and Ranbaxy was a reverse settlement, RP Healthcare's claim of a per se violation of the Cartwright Act necessarily fails under </w:t>
      </w:r>
      <w:bookmarkStart w:id="90" w:name="Bookmark_I5RHJVJM2HM66V0030000400"/>
      <w:bookmarkEnd w:id="90"/>
      <w:hyperlink r:id="rId25" w:history="1">
        <w:r>
          <w:rPr>
            <w:rFonts w:ascii="arial" w:eastAsia="arial" w:hAnsi="arial" w:cs="arial"/>
            <w:b w:val="0"/>
            <w:i/>
            <w:strike w:val="0"/>
            <w:noProof w:val="0"/>
            <w:color w:val="0077CC"/>
            <w:position w:val="0"/>
            <w:sz w:val="20"/>
            <w:u w:val="single"/>
            <w:vertAlign w:val="baseline"/>
          </w:rPr>
          <w:t>Cipro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 xml:space="preserve">Perhaps cognizant of this unremarkable application of California law, RP Healthcare attempts to escape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's reach by arguing that the agreement between Pfizer and Ranbaxy was not a reverse settlement at all. Whereas reverse settlements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activity within the term of a disputed patent, it argues, the agreement in this case only covered the time period following the expiration of the Lipitor patent. RP Healthcare dates this expiration to June 28, 2011, but this is simply inaccurate. </w:t>
      </w:r>
      <w:bookmarkStart w:id="92" w:name="Bookmark_I620X54KD860003T68C00004"/>
      <w:bookmarkEnd w:id="92"/>
      <w:bookmarkStart w:id="93" w:name="Bookmark_I5RHJVJM2SF8MM0020000400"/>
      <w:bookmarkEnd w:id="93"/>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Lipitor patent expired on that date, but RP Healthcare conspicuously ignores the fact that Lipitor was covered by at least five other patents that expired between 2013 and 2017, well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outside the period contemplated by the settlement agreement. Whether Ranbaxy could have designed around these later-expiring patents—thus producing a generic version of Lipitor without infringing upon them—is relevant under a rule of reason analysis.</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But questions about the practical durability of a patent have no bearing on its presumed validity. The settlement agreement's basic attributes, which cannot be ignored, reveal that it was a straightforward reverse settlement under </w:t>
      </w:r>
      <w:bookmarkStart w:id="97" w:name="Bookmark_I5RHJVJM2SF8MM0020000400_2"/>
      <w:bookmarkEnd w:id="97"/>
      <w:bookmarkStart w:id="98" w:name="Bookmark_I5RHJVJM2SF8MM0010000400"/>
      <w:bookmarkEnd w:id="98"/>
      <w:hyperlink r:id="rId25" w:history="1">
        <w:r>
          <w:rPr>
            <w:rFonts w:ascii="arial" w:eastAsia="arial" w:hAnsi="arial" w:cs="arial"/>
            <w:b w:val="0"/>
            <w:i/>
            <w:strike w:val="0"/>
            <w:noProof w:val="0"/>
            <w:color w:val="0077CC"/>
            <w:position w:val="0"/>
            <w:sz w:val="20"/>
            <w:u w:val="single"/>
            <w:vertAlign w:val="baseline"/>
          </w:rPr>
          <w:t>Cipro</w:t>
        </w:r>
      </w:hyperlink>
      <w:r>
        <w:rPr>
          <w:rFonts w:ascii="arial" w:eastAsia="arial" w:hAnsi="arial" w:cs="arial"/>
          <w:b w:val="0"/>
          <w:i w:val="0"/>
          <w:strike w:val="0"/>
          <w:noProof w:val="0"/>
          <w:color w:val="000000"/>
          <w:position w:val="0"/>
          <w:sz w:val="20"/>
          <w:u w:val="none"/>
          <w:vertAlign w:val="baseline"/>
        </w:rPr>
        <w:t xml:space="preserve">. This forecloses any claim of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Personal Jurisdiction Over Defendant Daiichi Sankyo Company, Ltd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5"/>
      <w:bookmarkEnd w:id="99"/>
      <w:bookmarkStart w:id="100" w:name="Bookmark_I5RHJVJM2SF8MN0010000400"/>
      <w:bookmarkEnd w:id="100"/>
      <w:r>
        <w:rPr>
          <w:rFonts w:ascii="arial" w:eastAsia="arial" w:hAnsi="arial" w:cs="arial"/>
          <w:b w:val="0"/>
          <w:i w:val="0"/>
          <w:strike w:val="0"/>
          <w:noProof w:val="0"/>
          <w:color w:val="000000"/>
          <w:position w:val="0"/>
          <w:sz w:val="20"/>
          <w:u w:val="none"/>
          <w:vertAlign w:val="baseline"/>
        </w:rPr>
        <w:t xml:space="preserve">One final matter remains from our Order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When the District Court originally dismissed the present complaint, it did so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One Defendant, however, Daiichi Sankyo Company, Ltd., had asserted an alternative basis for dismissal under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for want of personal jurisdiction. The District Court never addressed Daiichi Limited's personal jurisdiction motion, which should have logically preceded any decision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Following our limited remand in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the District Court found that it lacked personal jurisdiction and modified its dismissal order to reflect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as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proper basis. We will affirm.</w:t>
      </w:r>
    </w:p>
    <w:p>
      <w:pPr>
        <w:keepNext w:val="0"/>
        <w:widowControl w:val="0"/>
        <w:spacing w:before="200" w:after="0" w:line="260" w:lineRule="atLeast"/>
        <w:ind w:left="0" w:right="0" w:firstLine="0"/>
        <w:jc w:val="both"/>
      </w:pPr>
      <w:bookmarkStart w:id="103" w:name="Bookmark_para_16"/>
      <w:bookmarkEnd w:id="103"/>
      <w:bookmarkStart w:id="104" w:name="Bookmark_I5RHJVJM2SF8MN0030000400"/>
      <w:bookmarkEnd w:id="104"/>
      <w:r>
        <w:rPr>
          <w:rFonts w:ascii="arial" w:eastAsia="arial" w:hAnsi="arial" w:cs="arial"/>
          <w:b w:val="0"/>
          <w:i w:val="0"/>
          <w:strike w:val="0"/>
          <w:noProof w:val="0"/>
          <w:color w:val="000000"/>
          <w:position w:val="0"/>
          <w:sz w:val="20"/>
          <w:u w:val="none"/>
          <w:vertAlign w:val="baseline"/>
        </w:rPr>
        <w:t xml:space="preserve">As the District Court found, Daiichi Limited (1) is a Japanese corporation; (2) is not incorporated or registered to do business in California; (3) has no offices or other company facilities in California; (4) has no employees in California; and (5) has no appointed agent for service of process in California. </w:t>
      </w:r>
      <w:bookmarkStart w:id="105" w:name="Bookmark_I620X54K0SS0003T68C00002"/>
      <w:bookmarkEnd w:id="105"/>
      <w:bookmarkStart w:id="106" w:name="Bookmark_I5RHJVJM2SF8MN0050000400"/>
      <w:bookmarkEnd w:id="106"/>
      <w:r>
        <w:rPr>
          <w:rFonts w:ascii="arial" w:eastAsia="arial" w:hAnsi="arial" w:cs="arial"/>
          <w:b w:val="0"/>
          <w:i w:val="0"/>
          <w:strike w:val="0"/>
          <w:noProof w:val="0"/>
          <w:color w:val="000000"/>
          <w:position w:val="0"/>
          <w:sz w:val="20"/>
          <w:u w:val="none"/>
          <w:vertAlign w:val="baseline"/>
        </w:rPr>
        <w:t xml:space="preserve">RP Healthcare claims that personal jurisdiction exists because Daiichi Limited allegedly conditioned its purchase of stock from Ranbaxy, an Indian company, upon Ranbaxy entering into the present agreement with Pfizer. </w:t>
      </w:r>
      <w:bookmarkStart w:id="107" w:name="Bookmark_LNHNREFclscc5"/>
      <w:bookmarkEnd w:id="107"/>
      <w:hyperlink r:id="rId2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Following a motion for dismissal under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the burden is on the plaintiff to prove personal jurisdiction by a preponderance of the evidence.</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We agree with the District Court that RP Healthcare has failed to allege, let alone prove, any facts that would support a California court's exercise of personal jurisdiction. </w:t>
      </w:r>
      <w:bookmarkStart w:id="110" w:name="Bookmark_I5RHJVJM2SF8MN0050000400_2"/>
      <w:bookmarkEnd w:id="110"/>
      <w:r>
        <w:rPr>
          <w:rFonts w:ascii="arial" w:eastAsia="arial" w:hAnsi="arial" w:cs="arial"/>
          <w:b w:val="0"/>
          <w:i w:val="0"/>
          <w:strike w:val="0"/>
          <w:noProof w:val="0"/>
          <w:color w:val="000000"/>
          <w:position w:val="0"/>
          <w:sz w:val="20"/>
          <w:u w:val="none"/>
          <w:vertAlign w:val="baseline"/>
        </w:rPr>
        <w:t>Even if the allegations regarding the sale of stock are true, such an agreement would not show that Daiichi Limited "purposefully availed itself of the privilege of conducting activities within" California, as would be required to support personal jurisdiction.</w:t>
      </w:r>
      <w:r>
        <w:rPr>
          <w:rFonts w:ascii="arial" w:eastAsia="arial" w:hAnsi="arial" w:cs="arial"/>
          <w:vertAlign w:val="superscript"/>
        </w:rPr>
        <w:footnoteReference w:customMarkFollows="1" w:id="24"/>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13" w:name="Bookmark_para_17"/>
      <w:bookmarkEnd w:id="113"/>
      <w:r>
        <w:rPr>
          <w:rFonts w:ascii="arial" w:eastAsia="arial" w:hAnsi="arial" w:cs="arial"/>
          <w:b w:val="0"/>
          <w:i w:val="0"/>
          <w:strike w:val="0"/>
          <w:noProof w:val="0"/>
          <w:color w:val="000000"/>
          <w:position w:val="0"/>
          <w:sz w:val="20"/>
          <w:u w:val="none"/>
          <w:vertAlign w:val="baseline"/>
        </w:rPr>
        <w:t>The Order of the District Court will be AFFIRMED.</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4" w:name="Bookmark_fnpara_1"/>
      <w:bookmarkEnd w:id="24"/>
      <w:r>
        <w:rPr>
          <w:rFonts w:ascii="arial" w:eastAsia="arial" w:hAnsi="arial" w:cs="arial"/>
          <w:b w:val="0"/>
          <w:i w:val="0"/>
          <w:strike w:val="0"/>
          <w:noProof w:val="0"/>
          <w:color w:val="000000"/>
          <w:position w:val="0"/>
          <w:sz w:val="18"/>
          <w:u w:val="none"/>
          <w:vertAlign w:val="baseline"/>
        </w:rPr>
        <w:t>Honorable D. Brooks Smith, United States Circuit Judge for the Third Circuit, assumed Chief Judge status on October 1, 2016.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5" w:name="Bookmark_fnpara_2"/>
      <w:bookmarkEnd w:id="25"/>
      <w:r>
        <w:rPr>
          <w:rFonts w:ascii="arial" w:eastAsia="arial" w:hAnsi="arial" w:cs="arial"/>
          <w:b w:val="0"/>
          <w:i w:val="0"/>
          <w:strike w:val="0"/>
          <w:noProof w:val="0"/>
          <w:color w:val="000000"/>
          <w:position w:val="0"/>
          <w:sz w:val="18"/>
          <w:u w:val="none"/>
          <w:vertAlign w:val="baseline"/>
        </w:rPr>
        <w:t>Honorable D. Michael Fisher, United States Circuit Judge for the Third Circuit, assumed senior status on February 1, 2017.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7" w:name="Bookmark_fnpara_3"/>
      <w:bookmarkEnd w:id="27"/>
      <w:r>
        <w:rPr>
          <w:rFonts w:ascii="arial" w:eastAsia="arial" w:hAnsi="arial" w:cs="arial"/>
          <w:b w:val="0"/>
          <w:i w:val="0"/>
          <w:strike w:val="0"/>
          <w:noProof w:val="0"/>
          <w:color w:val="000000"/>
          <w:position w:val="0"/>
          <w:sz w:val="18"/>
          <w:u w:val="none"/>
          <w:vertAlign w:val="baseline"/>
        </w:rPr>
        <w:t>This disposition is not an opinion of the full Court and pursuant to I.O.P. 5.7 does not constitute binding precedent.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 w:name="Bookmark_fnpara_4"/>
      <w:bookmarkEnd w:id="31"/>
      <w:bookmarkStart w:id="32" w:name="Bookmark_I5RHJVJM2D6NGX0020000400"/>
      <w:bookmarkEnd w:id="32"/>
      <w:bookmarkStart w:id="33" w:name="Bookmark_I5RHJVJM2D6NGX0010000400"/>
      <w:bookmarkEnd w:id="33"/>
      <w:hyperlink r:id="rId1" w:history="1">
        <w:r>
          <w:rPr>
            <w:rFonts w:ascii="arial" w:eastAsia="arial" w:hAnsi="arial" w:cs="arial"/>
            <w:b w:val="0"/>
            <w:i/>
            <w:strike w:val="0"/>
            <w:noProof w:val="0"/>
            <w:color w:val="0077CC"/>
            <w:position w:val="0"/>
            <w:sz w:val="18"/>
            <w:u w:val="single"/>
            <w:vertAlign w:val="baseline"/>
          </w:rPr>
          <w:t xml:space="preserve">In re: Lipitor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855 F.3d 126, 145 (3d Cir. 2017)</w:t>
        </w:r>
      </w:hyperlink>
      <w:r>
        <w:rPr>
          <w:rFonts w:ascii="arial" w:eastAsia="arial" w:hAnsi="arial" w:cs="arial"/>
          <w:b w:val="0"/>
          <w:i w:val="0"/>
          <w:strike w:val="0"/>
          <w:noProof w:val="0"/>
          <w:color w:val="000000"/>
          <w:position w:val="0"/>
          <w:sz w:val="18"/>
          <w:u w:val="none"/>
          <w:vertAlign w:val="baseline"/>
        </w:rPr>
        <w:t xml:space="preserve">. We continue the same numbering scheme used in our previous opinions. </w:t>
      </w:r>
      <w:r>
        <w:rPr>
          <w:rFonts w:ascii="arial" w:eastAsia="arial" w:hAnsi="arial" w:cs="arial"/>
          <w:b w:val="0"/>
          <w:i/>
          <w:strike w:val="0"/>
          <w:noProof w:val="0"/>
          <w:color w:val="000000"/>
          <w:position w:val="0"/>
          <w:sz w:val="18"/>
          <w:u w:val="none"/>
          <w:vertAlign w:val="baseline"/>
        </w:rPr>
        <w:t>Lipitor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Lipitor II</w:t>
      </w:r>
      <w:r>
        <w:rPr>
          <w:rFonts w:ascii="arial" w:eastAsia="arial" w:hAnsi="arial" w:cs="arial"/>
          <w:b w:val="0"/>
          <w:i w:val="0"/>
          <w:strike w:val="0"/>
          <w:noProof w:val="0"/>
          <w:color w:val="000000"/>
          <w:position w:val="0"/>
          <w:sz w:val="18"/>
          <w:u w:val="none"/>
          <w:vertAlign w:val="baseline"/>
        </w:rPr>
        <w:t xml:space="preserve"> are opinions of the District Court.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4" w:name="Bookmark_fnpara_5"/>
      <w:bookmarkEnd w:id="34"/>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5" w:name="Bookmark_fnpara_6"/>
      <w:bookmarkEnd w:id="35"/>
      <w:bookmarkStart w:id="36" w:name="Bookmark_I5RHJVJM2D6NGX0030000400"/>
      <w:bookmarkEnd w:id="36"/>
      <w:hyperlink r:id="rId2" w:history="1">
        <w:r>
          <w:rPr>
            <w:rFonts w:ascii="arial" w:eastAsia="arial" w:hAnsi="arial" w:cs="arial"/>
            <w:b w:val="0"/>
            <w:i/>
            <w:strike w:val="0"/>
            <w:noProof w:val="0"/>
            <w:color w:val="0077CC"/>
            <w:position w:val="0"/>
            <w:sz w:val="18"/>
            <w:u w:val="single"/>
            <w:vertAlign w:val="baseline"/>
          </w:rPr>
          <w:t xml:space="preserve">In re: Lipitor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868 F.3d 231 (3d Cir. 2017)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9" w:name="Bookmark_fnpara_7"/>
      <w:bookmarkEnd w:id="39"/>
      <w:hyperlink r:id="rId3" w:history="1">
        <w:r>
          <w:rPr>
            <w:rFonts w:ascii="arial" w:eastAsia="arial" w:hAnsi="arial" w:cs="arial"/>
            <w:b w:val="0"/>
            <w:i/>
            <w:strike w:val="0"/>
            <w:noProof w:val="0"/>
            <w:color w:val="0077CC"/>
            <w:position w:val="0"/>
            <w:sz w:val="18"/>
            <w:u w:val="single"/>
            <w:vertAlign w:val="baseline"/>
          </w:rPr>
          <w:t xml:space="preserve">Cal. Bus. &amp; Prof. Code § 16700 </w:t>
        </w:r>
      </w:hyperlink>
      <w:hyperlink r:id="rId3" w:history="1">
        <w:r>
          <w:rPr>
            <w:rFonts w:ascii="arial" w:eastAsia="arial" w:hAnsi="arial" w:cs="arial"/>
            <w:b w:val="0"/>
            <w:i/>
            <w:strike w:val="0"/>
            <w:noProof w:val="0"/>
            <w:color w:val="0077CC"/>
            <w:position w:val="0"/>
            <w:sz w:val="18"/>
            <w:u w:val="single"/>
            <w:vertAlign w:val="baseline"/>
          </w:rPr>
          <w:t>et seq.</w:t>
        </w:r>
      </w:hyperlink>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0" w:name="Bookmark_fnpara_8"/>
      <w:bookmarkEnd w:id="40"/>
      <w:r>
        <w:rPr>
          <w:rFonts w:ascii="arial" w:eastAsia="arial" w:hAnsi="arial" w:cs="arial"/>
          <w:b w:val="0"/>
          <w:i w:val="0"/>
          <w:strike w:val="0"/>
          <w:noProof w:val="0"/>
          <w:color w:val="000000"/>
          <w:position w:val="0"/>
          <w:sz w:val="18"/>
          <w:u w:val="none"/>
          <w:vertAlign w:val="baseline"/>
        </w:rPr>
        <w:t>The parties agree that the amount in controversy exceeds $75,000.</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 w:name="Bookmark_fnpara_9"/>
      <w:bookmarkEnd w:id="41"/>
      <w:bookmarkStart w:id="42" w:name="Bookmark_I5RHJVJM2D6NGX0050000400"/>
      <w:bookmarkEnd w:id="42"/>
      <w:hyperlink r:id="rId1" w:history="1">
        <w:r>
          <w:rPr>
            <w:rFonts w:ascii="arial" w:eastAsia="arial" w:hAnsi="arial" w:cs="arial"/>
            <w:b w:val="0"/>
            <w:i/>
            <w:strike w:val="0"/>
            <w:noProof w:val="0"/>
            <w:color w:val="0077CC"/>
            <w:position w:val="0"/>
            <w:sz w:val="18"/>
            <w:u w:val="single"/>
            <w:vertAlign w:val="baseline"/>
          </w:rPr>
          <w:t>Lipitor III</w:t>
        </w:r>
      </w:hyperlink>
      <w:hyperlink r:id="rId1" w:history="1">
        <w:r>
          <w:rPr>
            <w:rFonts w:ascii="arial" w:eastAsia="arial" w:hAnsi="arial" w:cs="arial"/>
            <w:b w:val="0"/>
            <w:i/>
            <w:strike w:val="0"/>
            <w:noProof w:val="0"/>
            <w:color w:val="0077CC"/>
            <w:position w:val="0"/>
            <w:sz w:val="18"/>
            <w:u w:val="single"/>
            <w:vertAlign w:val="baseline"/>
          </w:rPr>
          <w:t xml:space="preserve"> 855 F.3d at 134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5" w:name="Bookmark_fnpara_10"/>
      <w:bookmarkEnd w:id="45"/>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6" w:name="Bookmark_fnpara_11"/>
      <w:bookmarkEnd w:id="46"/>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1" w:name="Bookmark_fnpara_12"/>
      <w:bookmarkEnd w:id="51"/>
      <w:bookmarkStart w:id="52" w:name="Bookmark_I5RHJVJM28T4B10020000400"/>
      <w:bookmarkEnd w:id="52"/>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150</w:t>
        </w:r>
      </w:hyperlink>
      <w:r>
        <w:rPr>
          <w:rFonts w:ascii="arial" w:eastAsia="arial" w:hAnsi="arial" w:cs="arial"/>
          <w:b w:val="0"/>
          <w:i w:val="0"/>
          <w:strike w:val="0"/>
          <w:noProof w:val="0"/>
          <w:color w:val="000000"/>
          <w:position w:val="0"/>
          <w:sz w:val="18"/>
          <w:u w:val="none"/>
          <w:vertAlign w:val="baseline"/>
        </w:rPr>
        <w:t xml:space="preserve"> (citing </w:t>
      </w:r>
      <w:bookmarkStart w:id="53" w:name="Bookmark_I5RHJVJM28T4B10040000400"/>
      <w:bookmarkEnd w:id="53"/>
      <w:hyperlink r:id="rId4" w:history="1">
        <w:r>
          <w:rPr>
            <w:rFonts w:ascii="arial" w:eastAsia="arial" w:hAnsi="arial" w:cs="arial"/>
            <w:b w:val="0"/>
            <w:i/>
            <w:strike w:val="0"/>
            <w:noProof w:val="0"/>
            <w:color w:val="0077CC"/>
            <w:position w:val="0"/>
            <w:sz w:val="18"/>
            <w:u w:val="single"/>
            <w:vertAlign w:val="baseline"/>
          </w:rPr>
          <w:t>Caterpillar Inc. v. Lewis</w:t>
        </w:r>
      </w:hyperlink>
      <w:hyperlink r:id="rId4" w:history="1">
        <w:r>
          <w:rPr>
            <w:rFonts w:ascii="arial" w:eastAsia="arial" w:hAnsi="arial" w:cs="arial"/>
            <w:b w:val="0"/>
            <w:i/>
            <w:strike w:val="0"/>
            <w:noProof w:val="0"/>
            <w:color w:val="0077CC"/>
            <w:position w:val="0"/>
            <w:sz w:val="18"/>
            <w:u w:val="single"/>
            <w:vertAlign w:val="baseline"/>
          </w:rPr>
          <w:t>, 519 U.S. 61, 64, 117 S. Ct. 467, 136 L. Ed. 2d 437 (1996))</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4" w:name="Bookmark_fnpara_13"/>
      <w:bookmarkEnd w:id="54"/>
      <w:bookmarkStart w:id="55" w:name="Bookmark_I5RHJVJM2D6NGY0010000400"/>
      <w:bookmarkEnd w:id="55"/>
      <w:hyperlink r:id="rId4" w:history="1">
        <w:r>
          <w:rPr>
            <w:rFonts w:ascii="arial" w:eastAsia="arial" w:hAnsi="arial" w:cs="arial"/>
            <w:b w:val="0"/>
            <w:i/>
            <w:strike w:val="0"/>
            <w:noProof w:val="0"/>
            <w:color w:val="0077CC"/>
            <w:position w:val="0"/>
            <w:sz w:val="18"/>
            <w:u w:val="single"/>
            <w:vertAlign w:val="baseline"/>
          </w:rPr>
          <w:t>Caterpillar</w:t>
        </w:r>
      </w:hyperlink>
      <w:hyperlink r:id="rId4" w:history="1">
        <w:r>
          <w:rPr>
            <w:rFonts w:ascii="arial" w:eastAsia="arial" w:hAnsi="arial" w:cs="arial"/>
            <w:b w:val="0"/>
            <w:i/>
            <w:strike w:val="0"/>
            <w:noProof w:val="0"/>
            <w:color w:val="0077CC"/>
            <w:position w:val="0"/>
            <w:sz w:val="18"/>
            <w:u w:val="single"/>
            <w:vertAlign w:val="baseline"/>
          </w:rPr>
          <w:t>, 519 U.S. at 64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1" w:name="Bookmark_fnpara_14"/>
      <w:bookmarkEnd w:id="61"/>
      <w:bookmarkStart w:id="62" w:name="Bookmark_I5RHJVJM2D6NGY0030000400"/>
      <w:bookmarkEnd w:id="62"/>
      <w:hyperlink r:id="rId2" w:history="1">
        <w:r>
          <w:rPr>
            <w:rFonts w:ascii="arial" w:eastAsia="arial" w:hAnsi="arial" w:cs="arial"/>
            <w:b w:val="0"/>
            <w:i/>
            <w:strike w:val="0"/>
            <w:noProof w:val="0"/>
            <w:color w:val="0077CC"/>
            <w:position w:val="0"/>
            <w:sz w:val="18"/>
            <w:u w:val="single"/>
            <w:vertAlign w:val="baseline"/>
          </w:rPr>
          <w:t>Lipitor IV</w:t>
        </w:r>
      </w:hyperlink>
      <w:hyperlink r:id="rId2" w:history="1">
        <w:r>
          <w:rPr>
            <w:rFonts w:ascii="arial" w:eastAsia="arial" w:hAnsi="arial" w:cs="arial"/>
            <w:b w:val="0"/>
            <w:i/>
            <w:strike w:val="0"/>
            <w:noProof w:val="0"/>
            <w:color w:val="0077CC"/>
            <w:position w:val="0"/>
            <w:sz w:val="18"/>
            <w:u w:val="single"/>
            <w:vertAlign w:val="baseline"/>
          </w:rPr>
          <w:t>, 868 F.3d at 255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3" w:name="Bookmark_fnpara_15"/>
      <w:bookmarkEnd w:id="63"/>
      <w:bookmarkStart w:id="64" w:name="Bookmark_I5RHJVJM2D6NGY0050000400"/>
      <w:bookmarkEnd w:id="64"/>
      <w:hyperlink r:id="rId5" w:history="1">
        <w:r>
          <w:rPr>
            <w:rFonts w:ascii="arial" w:eastAsia="arial" w:hAnsi="arial" w:cs="arial"/>
            <w:b w:val="0"/>
            <w:i/>
            <w:strike w:val="0"/>
            <w:noProof w:val="0"/>
            <w:color w:val="0077CC"/>
            <w:position w:val="0"/>
            <w:sz w:val="18"/>
            <w:u w:val="single"/>
            <w:vertAlign w:val="baseline"/>
          </w:rPr>
          <w:t>570 U.S. 136, 133 S. Ct. 2223, 186 L. Ed. 2d 343 (2013)</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1" w:name="Bookmark_fnpara_16"/>
      <w:bookmarkEnd w:id="71"/>
      <w:bookmarkStart w:id="72" w:name="Bookmark_I5RHJVJM28T4B20020000400"/>
      <w:bookmarkEnd w:id="72"/>
      <w:hyperlink r:id="rId2" w:history="1">
        <w:r>
          <w:rPr>
            <w:rFonts w:ascii="arial" w:eastAsia="arial" w:hAnsi="arial" w:cs="arial"/>
            <w:b w:val="0"/>
            <w:i/>
            <w:strike w:val="0"/>
            <w:noProof w:val="0"/>
            <w:color w:val="0077CC"/>
            <w:position w:val="0"/>
            <w:sz w:val="18"/>
            <w:u w:val="single"/>
            <w:vertAlign w:val="baseline"/>
          </w:rPr>
          <w:t>868 F.3d at 250</w:t>
        </w:r>
      </w:hyperlink>
      <w:r>
        <w:rPr>
          <w:rFonts w:ascii="arial" w:eastAsia="arial" w:hAnsi="arial" w:cs="arial"/>
          <w:b w:val="0"/>
          <w:i w:val="0"/>
          <w:strike w:val="0"/>
          <w:noProof w:val="0"/>
          <w:color w:val="000000"/>
          <w:position w:val="0"/>
          <w:sz w:val="18"/>
          <w:u w:val="none"/>
          <w:vertAlign w:val="baseline"/>
        </w:rPr>
        <w:t xml:space="preserve"> (internal citations and quotations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4" w:name="Bookmark_fnpara_17"/>
      <w:bookmarkEnd w:id="74"/>
      <w:bookmarkStart w:id="75" w:name="Bookmark_I5RHJVJM28T4B20040000400"/>
      <w:bookmarkEnd w:id="75"/>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at 2231</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6" w:name="Bookmark_fnpara_18"/>
      <w:bookmarkEnd w:id="76"/>
      <w:bookmarkStart w:id="77" w:name="Bookmark_I5RHJVJM2HM66V0010000400"/>
      <w:bookmarkEnd w:id="77"/>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2237</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4" w:name="Bookmark_fnpara_19"/>
      <w:bookmarkEnd w:id="84"/>
      <w:bookmarkStart w:id="85" w:name="Bookmark_I5RHJVJM2HM66V0050000400"/>
      <w:bookmarkEnd w:id="85"/>
      <w:hyperlink r:id="rId6" w:history="1">
        <w:r>
          <w:rPr>
            <w:rFonts w:ascii="arial" w:eastAsia="arial" w:hAnsi="arial" w:cs="arial"/>
            <w:b w:val="0"/>
            <w:i/>
            <w:strike w:val="0"/>
            <w:noProof w:val="0"/>
            <w:color w:val="0077CC"/>
            <w:position w:val="0"/>
            <w:sz w:val="18"/>
            <w:u w:val="single"/>
            <w:vertAlign w:val="baseline"/>
          </w:rPr>
          <w:t>61 Cal. 4th 116, 142-43, 187 Cal. Rptr. 3d 632, 348 P.3d 845 (2015)</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6" w:name="Bookmark_fnpara_20"/>
      <w:bookmarkEnd w:id="86"/>
      <w:bookmarkStart w:id="87" w:name="Bookmark_I5RHJVJM2HM66W0020000400"/>
      <w:bookmarkEnd w:id="87"/>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146</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8" w:name="Bookmark_fnpara_21"/>
      <w:bookmarkEnd w:id="88"/>
      <w:bookmarkStart w:id="89" w:name="Bookmark_I5RHJVJM2HM66W0040000400"/>
      <w:bookmarkEnd w:id="89"/>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148</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4" w:name="Bookmark_fnpara_22"/>
      <w:bookmarkEnd w:id="94"/>
      <w:bookmarkStart w:id="95" w:name="Bookmark_I5RHJVJM2SF8MM0040000400"/>
      <w:bookmarkEnd w:id="95"/>
      <w:r>
        <w:rPr>
          <w:rFonts w:ascii="arial" w:eastAsia="arial" w:hAnsi="arial" w:cs="arial"/>
          <w:b w:val="0"/>
          <w:i w:val="0"/>
          <w:strike w:val="0"/>
          <w:noProof w:val="0"/>
          <w:color w:val="000000"/>
          <w:position w:val="0"/>
          <w:sz w:val="18"/>
          <w:u w:val="none"/>
          <w:vertAlign w:val="baseline"/>
        </w:rPr>
        <w:t xml:space="preserve">The ease with which a generic manufacturer could design around such patents would serve as a relevant indicator of the overall strength of Pfizer's position in negotiating the settlement. The weaker a patent holder's position, the more likely a reverse settlement will be found anti-competitive. </w:t>
      </w:r>
      <w:bookmarkStart w:id="96" w:name="Bookmark_I5RHJVJM2SF8MM0030000400"/>
      <w:bookmarkEnd w:id="96"/>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at 2236-37</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1" w:name="Bookmark_fnpara_23"/>
      <w:bookmarkEnd w:id="101"/>
      <w:bookmarkStart w:id="102" w:name="Bookmark_I5RHJVJM2SF8MM0050000400"/>
      <w:bookmarkEnd w:id="102"/>
      <w:hyperlink r:id="rId7" w:history="1">
        <w:r>
          <w:rPr>
            <w:rFonts w:ascii="arial" w:eastAsia="arial" w:hAnsi="arial" w:cs="arial"/>
            <w:b w:val="0"/>
            <w:i/>
            <w:strike w:val="0"/>
            <w:noProof w:val="0"/>
            <w:color w:val="0077CC"/>
            <w:position w:val="0"/>
            <w:sz w:val="18"/>
            <w:u w:val="single"/>
            <w:vertAlign w:val="baseline"/>
          </w:rPr>
          <w:t>Sinochem Int'l Co. v. Malaysia Int'l Shipping Corp.</w:t>
        </w:r>
      </w:hyperlink>
      <w:hyperlink r:id="rId7" w:history="1">
        <w:r>
          <w:rPr>
            <w:rFonts w:ascii="arial" w:eastAsia="arial" w:hAnsi="arial" w:cs="arial"/>
            <w:b w:val="0"/>
            <w:i/>
            <w:strike w:val="0"/>
            <w:noProof w:val="0"/>
            <w:color w:val="0077CC"/>
            <w:position w:val="0"/>
            <w:sz w:val="18"/>
            <w:u w:val="single"/>
            <w:vertAlign w:val="baseline"/>
          </w:rPr>
          <w:t>, 549 U.S. 422, 430-31, 127 S. Ct. 1184, 167 L. Ed. 2d 15 (2007)</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8" w:name="Bookmark_fnpara_24"/>
      <w:bookmarkEnd w:id="108"/>
      <w:bookmarkStart w:id="109" w:name="Bookmark_I5RHJVJM2SF8MN0020000400"/>
      <w:bookmarkEnd w:id="109"/>
      <w:hyperlink r:id="rId8" w:history="1">
        <w:r>
          <w:rPr>
            <w:rFonts w:ascii="arial" w:eastAsia="arial" w:hAnsi="arial" w:cs="arial"/>
            <w:b w:val="0"/>
            <w:i/>
            <w:strike w:val="0"/>
            <w:noProof w:val="0"/>
            <w:color w:val="0077CC"/>
            <w:position w:val="0"/>
            <w:sz w:val="18"/>
            <w:u w:val="single"/>
            <w:vertAlign w:val="baseline"/>
          </w:rPr>
          <w:t>IMO Indus. v. Kiekert AG</w:t>
        </w:r>
      </w:hyperlink>
      <w:hyperlink r:id="rId8" w:history="1">
        <w:r>
          <w:rPr>
            <w:rFonts w:ascii="arial" w:eastAsia="arial" w:hAnsi="arial" w:cs="arial"/>
            <w:b w:val="0"/>
            <w:i/>
            <w:strike w:val="0"/>
            <w:noProof w:val="0"/>
            <w:color w:val="0077CC"/>
            <w:position w:val="0"/>
            <w:sz w:val="18"/>
            <w:u w:val="single"/>
            <w:vertAlign w:val="baseline"/>
          </w:rPr>
          <w:t>, 155 F.3d 254, 257 (3d Cir. 1998)</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11" w:name="Bookmark_fnpara_25"/>
      <w:bookmarkEnd w:id="111"/>
      <w:bookmarkStart w:id="112" w:name="Bookmark_I5RHJVJM2SF8MN0040000400"/>
      <w:bookmarkEnd w:id="112"/>
      <w:hyperlink r:id="rId9" w:history="1">
        <w:r>
          <w:rPr>
            <w:rFonts w:ascii="arial" w:eastAsia="arial" w:hAnsi="arial" w:cs="arial"/>
            <w:b w:val="0"/>
            <w:i/>
            <w:strike w:val="0"/>
            <w:noProof w:val="0"/>
            <w:color w:val="0077CC"/>
            <w:position w:val="0"/>
            <w:sz w:val="18"/>
            <w:u w:val="single"/>
            <w:vertAlign w:val="baseline"/>
          </w:rPr>
          <w:t>Burger King Corp. v. Rudzewicz</w:t>
        </w:r>
      </w:hyperlink>
      <w:hyperlink r:id="rId9" w:history="1">
        <w:r>
          <w:rPr>
            <w:rFonts w:ascii="arial" w:eastAsia="arial" w:hAnsi="arial" w:cs="arial"/>
            <w:b w:val="0"/>
            <w:i/>
            <w:strike w:val="0"/>
            <w:noProof w:val="0"/>
            <w:color w:val="0077CC"/>
            <w:position w:val="0"/>
            <w:sz w:val="18"/>
            <w:u w:val="single"/>
            <w:vertAlign w:val="baseline"/>
          </w:rPr>
          <w:t>, 471 U.S. 462, 475, 105 S. Ct. 2174, 85 L. Ed. 2d 528 (1985)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Lipitor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3-6CF1-F04K-K1SH-00000-00&amp;context=" TargetMode="External" /><Relationship Id="rId11" Type="http://schemas.openxmlformats.org/officeDocument/2006/relationships/hyperlink" Target="https://advance.lexis.com/api/document?collection=cases&amp;id=urn:contentItem:5PMC-C3H1-F04D-W24N-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RB3-6CF1-F04K-K1SH-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RB3-6CF1-F04K-K1SH-00000-00&amp;context=&amp;link=LNHNREFclscc2" TargetMode="External" /><Relationship Id="rId16" Type="http://schemas.openxmlformats.org/officeDocument/2006/relationships/hyperlink" Target="https://advance.lexis.com/api/document?collection=cases&amp;id=urn:contentItem:5RB3-6CF1-F04K-K1SH-00000-00&amp;context=&amp;link=LNHNREFclscc3" TargetMode="External" /><Relationship Id="rId17" Type="http://schemas.openxmlformats.org/officeDocument/2006/relationships/hyperlink" Target="https://advance.lexis.com/api/document?collection=cases&amp;id=urn:contentItem:5RB3-6CF1-F04K-K1SH-00000-00&amp;context=&amp;link=LNHNREFclscc4" TargetMode="External" /><Relationship Id="rId18" Type="http://schemas.openxmlformats.org/officeDocument/2006/relationships/hyperlink" Target="https://advance.lexis.com/api/document?collection=cases&amp;id=urn:contentItem:5RB3-6CF1-F04K-K1SH-00000-00&amp;context=&amp;link=LNHNREFclscc5" TargetMode="External" /><Relationship Id="rId19" Type="http://schemas.openxmlformats.org/officeDocument/2006/relationships/hyperlink" Target="https://advance.lexis.com/api/document?collection=statutes-legislation&amp;id=urn:contentItem:5JFB-2YX1-DYB7-W1M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B3-6CF1-F04K-K1SH-00000-00&amp;context=&amp;link=clscc1" TargetMode="External" /><Relationship Id="rId21" Type="http://schemas.openxmlformats.org/officeDocument/2006/relationships/image" Target="media/image3.png" /><Relationship Id="rId22" Type="http://schemas.openxmlformats.org/officeDocument/2006/relationships/hyperlink" Target="https://advance.lexis.com/api/document?collection=cases&amp;id=urn:contentItem:5RB3-6CF1-F04K-K1SH-00000-00&amp;context=&amp;link=clscc2" TargetMode="External" /><Relationship Id="rId23" Type="http://schemas.openxmlformats.org/officeDocument/2006/relationships/hyperlink" Target="https://advance.lexis.com/api/document?collection=cases&amp;id=urn:contentItem:5RB3-6CF1-F04K-K1SH-00000-00&amp;context=&amp;link=clscc3" TargetMode="External" /><Relationship Id="rId24" Type="http://schemas.openxmlformats.org/officeDocument/2006/relationships/hyperlink" Target="https://advance.lexis.com/api/document?collection=cases&amp;id=urn:contentItem:5RB3-6CF1-F04K-K1SH-00000-00&amp;context=&amp;link=clscc4" TargetMode="External" /><Relationship Id="rId25" Type="http://schemas.openxmlformats.org/officeDocument/2006/relationships/hyperlink" Target="https://advance.lexis.com/api/document?collection=cases&amp;id=urn:contentItem:5FXT-F8K1-F04B-P0B8-00000-00&amp;context=" TargetMode="External" /><Relationship Id="rId26" Type="http://schemas.openxmlformats.org/officeDocument/2006/relationships/hyperlink" Target="https://advance.lexis.com/api/document?collection=cases&amp;id=urn:contentItem:5RB3-6CF1-F04K-K1SH-00000-00&amp;context=&amp;link=clscc5"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MJ1-J9X6-H1M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9J-S321-F04K-K0DD-00000-00&amp;context=" TargetMode="External" /><Relationship Id="rId2" Type="http://schemas.openxmlformats.org/officeDocument/2006/relationships/hyperlink" Target="https://advance.lexis.com/api/document?collection=cases&amp;id=urn:contentItem:5P99-0481-F04K-K04X-00000-00&amp;context=" TargetMode="External" /><Relationship Id="rId3" Type="http://schemas.openxmlformats.org/officeDocument/2006/relationships/hyperlink" Target="https://advance.lexis.com/api/document?collection=statutes-legislation&amp;id=urn:contentItem:5JFB-2YX1-DYB7-W1MN-00000-00&amp;context=" TargetMode="External" /><Relationship Id="rId4" Type="http://schemas.openxmlformats.org/officeDocument/2006/relationships/hyperlink" Target="https://advance.lexis.com/api/document?collection=cases&amp;id=urn:contentItem:3S65-J340-003B-R4N4-00000-00&amp;context=" TargetMode="External" /><Relationship Id="rId5" Type="http://schemas.openxmlformats.org/officeDocument/2006/relationships/hyperlink" Target="https://advance.lexis.com/api/document?collection=cases&amp;id=urn:contentItem:58NW-3VK1-F04K-F006-00000-00&amp;context=" TargetMode="External" /><Relationship Id="rId6" Type="http://schemas.openxmlformats.org/officeDocument/2006/relationships/hyperlink" Target="https://advance.lexis.com/api/document?collection=cases&amp;id=urn:contentItem:5FXT-F8K1-F04B-P0B8-00000-00&amp;context=" TargetMode="External" /><Relationship Id="rId7" Type="http://schemas.openxmlformats.org/officeDocument/2006/relationships/hyperlink" Target="https://advance.lexis.com/api/document?collection=cases&amp;id=urn:contentItem:4N67-FWY0-004B-Y005-00000-00&amp;context=" TargetMode="External" /><Relationship Id="rId8" Type="http://schemas.openxmlformats.org/officeDocument/2006/relationships/hyperlink" Target="https://advance.lexis.com/api/document?collection=cases&amp;id=urn:contentItem:3TJB-YBR0-0038-X461-00000-00&amp;context=" TargetMode="External" /><Relationship Id="rId9" Type="http://schemas.openxmlformats.org/officeDocument/2006/relationships/hyperlink" Target="https://advance.lexis.com/api/document?collection=cases&amp;id=urn:contentItem:3S4X-BM70-0039-N0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Otsuka Pharm. Co. v. Torrent Pharms.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