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Mushroom Direct Purchaser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2017, Decided; March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06-0620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31892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895582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MUSHROOM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24368 (E.D. Pa., Feb. 22,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Mushroom, pricing, Farms,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summary judgment, defendants', partial summary judgment,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email, Fresh, anticompetitive, reconsideration, participated, knowingly, sur-reply, immunity, individuals, summary judgment motion, support of the motion, individual defendant, set forth, membership, Purchaser, decisions, violates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 court denied summary judgment for the former president of a mushroom marketing cooperative in a class's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because, to withstand the motion, the class did not have to show that the president knew the cooperative's alleged efforts to fix distribution prices or to control supply were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[2]-There was a material question of fact with respect to whether the president actively and knowingly engaged in a scheme designed to achieve anticompetitive ends and whether he exerted his influence to shape the cooperative's intentions, even if higher Sixth Circuit Court of Appeals standard applied, based on evidence he communicated cooperative-mandated prices to mushroom distributors, sent e-mails regarding cooperative efforts to create order in the supply side of business, and participated in committees.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Scintilla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Generally,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court applies the traditional summary judgment standard. Summary judgment will be granted under </w:t>
      </w:r>
      <w:hyperlink r:id="rId14"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against a party who fails to make a showing sufficient to establish the existence of an element essential to that party's case, and on which that party will bear the burden of proof at trial. The party moving for summary judgment bears the burden of demonstrating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If the movant sustains its burden, the nonmovant must set forth facts demonstrating the existence of a genuine dispute.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summary judgment opponent need not match, item for item, each piece of evidence proffered by the movant, but simply must exceed the mere scintilla standard.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Because specific intent is not required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advice of counsel is not a defense.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Acts &amp; Mental States &gt; Mens Rea &gt; Specific Intent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require proof of specific intent. While a defendant's state of mind or intent is an element of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offense, the general rule is that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offense can be established by proof of either an unlawful purpose or an anticompetitive effect.</w:t>
      </w:r>
    </w:p>
    <w:p>
      <w:pPr>
        <w:keepNext w:val="0"/>
        <w:widowControl w:val="0"/>
        <w:spacing w:before="240" w:after="0" w:line="260" w:lineRule="atLeast"/>
        <w:ind w:left="0" w:right="0" w:firstLine="0"/>
        <w:jc w:val="left"/>
      </w:pPr>
      <w:bookmarkStart w:id="16" w:name="Counsel"/>
      <w:bookmarkEnd w:id="1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WM. ROSENSTEIN &amp; SONS CO., Plaintiff: ADAM M. MOSKOWITZ, THOMAS A. TUCKER RONZETTI, LEAD ATTORNEYS, KOZYAK TROPIN &amp; THROCKMORTON, MIAMI, FL; ANDREW WILLIAM KELLY, JOHN GREGORY ODOM, STUART E. DE SROCHES, LEAD ATTORNEYS, ODOM &amp; DES ROCHES LLP, NEW ORLEANS, LA; BARRY L. REFSIN, LEAD ATTORNEY, HANGLEY ARONCHICK SEGAL &amp; PUDLIN, PHILA, PA; BRUCE E. GERSTEIN, LEAD ATTORNEY, GARWIN GERSTEIN AND FISHER L.L.P., NEW YORK, NY; DAVID C. RAPHAEL, JR., LEAD ATTORNEY, PRO HAC VICE, SMITH SEGURA &amp; RAPHAEL LLP, ALEXANDRIA, LA; DAVID P. SMITH, SUSAN C. SEGURA, LEAD ATTORNEYS, SMITH SEGURA &amp; RAPHAEL LLP, ALEXANDRIA, LA; JONATHAN M. GERSTEIN, LEAD ATTORNEY, PRO HAC VICE, GARWIN GERSTEIN &amp; FISHER LLP, NEW YORK, NY; KEVIN LANDAU, LEAD ATTORNEY, TAUS, CEBULASH &amp; LANDAU, LLP., NEW YORK, NY; NOAH SILVERMAN, SCOTT W. FISHER, LEAD ATTORNEYS, GARWIN GERSTEIN AND FISHER LLP, NEW YORK, NY; TAL J. LIFSHITZ, LEAD ATTORNEY, PRO HAC VICE, KOZYAK TROPIN &amp; THROCKMORTON,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ASSOCIATED GROCERS, INC., Plaintiff: ADAM M. MOSKOWITZ, LEAD ATTORNEYS, KOZYAK TROPIN &amp; THROCKMORTON, MIAMI, FL; BARRY L. REFSIN, LEAD ATTORNEY, HANGLEY ARONCHICK SEGAL &amp; PUDLIN, PHILA, PA; DAVID L. PATRON, LEAD ATTORNEY, PHELPS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DUNBAR LLP, NEW ORLEANS, LA; DAVID C. RAPHAEL, JR., LEAD ATTORNEY, PRO HAC VICE, SMITH SEGURA &amp; RAPHAEL LLP, ALEXANDRIA, LA; JONATHAN M. GERSTEIN, LEAD ATTORNEY, PRO HAC VICE, GARWIN GERSTEIN &amp; FISHER LLP, NEW YORK, NY; SCOTT W. FISHER, LEAD ATTORNEY, GARWIN GERSTEIN AND FISHER LLP, NEW YORK, NY; SUSAN C. SEGURA, LEAD ATTORNEY, SMITH SEGURA &amp; RAPHAEL LLP, ALEXANDRIA, LA; TAL J. LIFSHITZ, LEAD ATTORNEY, PRO HAC VICE, KOZYAK TROPIN &amp; THROCKMORTON, CORAL GABLES, FL; BRENT B. BARRIERE, SUSIE MORGAN, PHELPS DUNBAR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DIVERSIFIED FOODS &amp; SEASONINGS, INC., Plaintiff: ADAM M. MOSKOWITZ, LEAD ATTORNEY, KOZYAK TROPIN &amp; THROCKMORTON, MIAMI, FL; BARRY L. REFSIN, LEAD ATTORNEY, HANGLEY ARONCHICK SEGAL &amp; PUDLIN, PHILA, PA; DAVID C. RAPHAEL, JR., LEAD ATTORNEY, PRO HAC VICE, SMITH SEGURA &amp; RAPHAEL LLP, ALEXANDRIA, LA; JONATHAN M. GERSTEIN, LEAD ATTORNEY, PRO HAC VICE, GARWIN GERSTEIN &amp; FISHER LLP, NEW YORK, NY; SCOTT W. FISHER, LEAD ATTORNEYS, GARWIN GERSTEIN AND FISHER LLP, NEW YORK, NY; SUSAN C. SEGURA, LEAD ATTORNEY, SMITH SEGURA &amp; RAPHAEL LLP, ALEXANDRIA, LA; TAL J. LIFSHITZ, LEAD ATTORNEY, PRO HAC VICE, KOZYAK TROPIN &amp; THROCKMORTON,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 ROBERT ENTERPRISES,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 Plaintiff: ADAM M. MOSKOWITZ, LEAD ATTORNEYS, KOZYAK TROPIN &amp; THROCKMORTON, MIAMI, FL; BARRY L. REFSIN, LEAD ATTORNEY, HANGLEY ARONCHICK SEGAL &amp; PUDLIN, PHILA, PA; DAVID L. PATRON, LEAD ATTORNEY, PHELPS DUNBAR LLP, NEW ORLEANS, LA; DAVID C. RAPHAEL, JR., LEAD ATTORNEY, PRO HAC VICE, SMITH SEGURA &amp; RAPHAEL LLP, ALEXANDRIA, LA; JONATHAN M. GERSTEIN, LEAD ATTORNEY, PRO HAC VICE, GARWIN GERSTEIN &amp; FISHER LLP, NEW YORK, NY; SCOTT W. FISHER, LEAD ATTORNEY, GARWIN GERSTEIN AND FISHER LLP, NEW YORK, NY; SUSAN C. SEGURA, LEAD ATTORNEY, SMITH SEGURA &amp; RAPHAEL LLP, ALEXANDRIA, LA; TAL J. LIFSHITZ, LEAD ATTORNEY, PRO HAC VICE, KOZYAK TROPIN &amp; THROCKMORTON, CORAL GABLES, FL; BRENT B. BARRIERE, PHELPS DUNBAR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M.L. ROBERT, II, L.L.C., Plaintiff: ADAM M. MOSKOWITZ, LEAD ATTORNEY, KOZYAK TROPIN &amp; THROCKMORTON, MIAMI, FL; BARRY L. REFSIN, LEAD ATTORNEY, HANGLEY ARONCHICK SEGAL &amp; PUDLIN, PHILA, PA; BRENT B. BARRIERE, DAVID L. PATRON, LEAD ATTORNEYS, PHELPS DUNBAR LLP, NEW ORLEANS, LA; DAVID C. RAPHAEL, JR., LEAD ATTORNEY, PRO HAC VICE, SMITH SEGURA &amp; RAPHAEL LLP, ALEXANDRIA, LA; JONATHAN M. GERSTEIN, LEAD ATTORNEY, PRO HAC VICE, GARWIN GERSTEIN &amp; FISHER LLP, NEW YORK, NY;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SCOTT W. FISHER, LEAD ATTORNEY, GARWIN GERSTEIN AND FISHER LLP, NEW YORK, NY; SUSAN C. SEGURA, LEAD ATTORNEY, SMITH SEGURA &amp; RAPHAEL LLP, ALEXANDRIA, LA; SUSIE MORGAN, LEAD ATTORNEY, PHELPS DUNBAR LLP, NEW ORLEANS, LA; TAL J. LIFSHITZ, LEAD ATTORNEY, PRO HAC VICE, KOZYAK TROPIN &amp; THROCKMORTON,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M.L. ROBERT, II, L.L.C., Plaintiff: ADAM M. MOSKOWITZ, LEAD ATTORNEY, KOZYAK TROPIN &amp; THROCKMORTON, MIAMI, FL; BARRY L. REFSIN, LEAD ATTORNEY, HANGLEY ARONCHICK SEGAL &amp; PUDLIN, PHILA, PA; DAVID C. RAPHAEL, JR., LEAD ATTORNEY, PRO HAC VICE, SMITH SEGURA &amp; RAPHAEL LLP, ALEXANDRIA, LA; JONATHAN M. GERSTEIN, LEAD ATTORNEY, PRO HAC VICE, GARWIN GERSTEIN &amp; FISHER LLP, NEW YORK, NY; SCOTT W. FISHER, LEAD ATTORNEY, GARWIN GERSTEIN AND FISHER LLP, NEW YORK, NY; SUSAN C. SEGURA, LEAD ATTORNEY, SMITH SEGURA &amp; RAPHAEL LLP, ALEXANDRIA, LA; TAL J. LIFSHITZ, LEAD ATTORNEY, PRO HAC VICE, KOZYAK TROPIN &amp; THROCKMORTON, CORAL GABLES, FL; BRENT B. BARRIERE, DAVID L. PATRON, LEAD ATTORNEYS, PHELPS DUNBAR LLP, NEW ORLEANS, LA; SUSIE MORGAN, LEAD ATTORNEY, PHELPS DUNBAR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PUBLIX SUPER MARKETS, INC., Plaintiff: ADAM M. MOSKOWITZ, LEAD ATTORNEY, KOZYAK TROPIN &amp; THROCKMORTON,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MIAMI, FL; ALBERTO RODRIGUEZ, JOSEPH M. VANEK, LEAD ATTORNEYS, PRO HAC VICE, VANEK VICKERS &amp; MASINI PC, CHICAGO, IL; BARRY L. REFSIN, LEAD ATTORNEY, HANGLEY ARONCHICK SEGAL &amp; PUDLIN, PHILA, PA; DAVID P. GERMAINE, LEAD ATTORNEY, VANEK VICKERS &amp; MASINI PC, CHICAGO, IL; PAUL E. SLATER, LEAD ATTORNEY, PRO HAC VICE, SPERLING &amp; SLATER PC, CHICAGO, IL; SUSAN C. SEGURA, LEAD ATTORNEY, SMITH SEGURA &amp; RAPHAEL LLP, ALEXANDRIA, LA; TAL J. LIFSHITZ, LEAD ATTORNEY, PRO HAC VICE, KOZYAK TROPIN &amp; THROCKMORTON, CORAL GABLES, FL; ERIC L. BLOOM, HANGLEY ARONCHICK SEGAL &amp; PUDLIN, HARRISBURG, PA; MOIRA E. CAIN-MANNIX, MARCUS &amp; SHAPIRA,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EASTERN MUSHROOM MARKETING COOPERATIVE, INC., MONTEREY MUSHROOMS, INC., PHILLIPS MUSHROOMS FARMS, LP., Defendants: DONALD M. BARNES, LEAD ATTORNEY, PORTER WRIGHT MORRIS &amp; ARTHUR LLP, WASHINGTON, DC; H. LADDIE MONTAGUE, JR., LEAD ATTORNEY, BERGER &amp; MONTAGUE PC, PHILA, PA; MARTIN I. TWERSKY, LEAD ATTORNEY, JENNIFER E. MACNAUGHTON, BERGER &amp; MONTAGUE, P.C., PHILADELPHIA, PA; TERRI A. PAWELSKI, WILLIAM A. DESTEFANO, LEAD ATTORNEYS, STEVENS &amp; LEE, PHILADELPHIA, PA; JOSEPH R. LOVERDI, DILWORTH PAXSON LLP, PHILADELPHIA, PA; RUDOLPH GARCIA, Wynnewood,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KAOLIN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MUSHROOM FARMS, INC., TO-JO FRESH MUSHROOMS, INC., Defendants: H. LADDIE MONTAGUE, JR., LEAD ATTORNEY, BERGER &amp; MONTAGUE PC, PHILA, PA; TERRI A. PAWELSKI, WILLIAM A. DESTEFANO, LEAD ATTORNEYS, STEVENS &amp; LEE, PHILADELPHIA, PA; JENNIFER E. MACNAUGHTON, MARTIN I. TWERSKY, BERGER &amp; MONTAGUE, P.C., PHILADELPHIA, PA; JOSEPH R. LOVERDI, DILWORTH PAXSON LLP, PHILADELPHIA, PA; RUDOLPH GARCIA, Wynnewood,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CARDILE MUSHROOMS, INC., CARDILE BROS. MUSHROOMS PACKAGING, Defendants: H. LADDIE MONTAGUE, JR., LEAD ATTORNEY, BERGER &amp; MONTAGUE PC, PHILA, PA; TERRI A. PAWELSKI, WILLIAM A. DESTEFANO, LEAD ATTORNEYS, STEVENS &amp; LEE, PHILADELPHIA, PA; JOSEPH R. LOVERDI, DILWORTH PAXSON LLP, PHILADELPHIA, PA; MARTIN I. TWERSKY, BERGER &amp; MONTAGUE, P.C., PHILADELPHIA, PA; RUDOLPH GARCIA, Wynnewood,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FRANKLIN FARMS, INC., Defendant: JAMES J. RODGERS, LEAD ATTORNEY, DILWORTH PAXSON, PHILADELPHIA, PA; TERRI A. PAWELSKI, LEAD ATTORNEY, STEVENS &amp; LEE, PHILADELPHIA, PA; DAVID FITZGIBBON, JOSEPH R. LOVERDI, DILWORTH PAXSON LLP, PHILADELPHIA, PA; RUDOLPH GARCIA, Wynnewood,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MODERN MUSHROOM FARMS, INC., SHER-ROCKEE MUSHROOM FARM, C &amp; C CARRIAGE MUSHROOM CO., JOHN PIA, Defendants: H. LADDIE MONTAGUE, JR.,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LEAD ATTORNEY, BERGER &amp; MONTAGUE PC, PHILA, PA; TERRI A. PAWELSKI, WILLIAM A. DESTEFANO, LEAD ATTORNEYS, STEVENS &amp; LEE, PHILADELPHIA, PA; JENNIFER E. MACNAUGHTON, BERGER MONTAGUE PC, PHILADELPHIA, PA; JOSEPH R. LOVERDI, DILWORTH PAXSON LLP, PHILADELPHIA, PA; MARTIN I. TWERSKY, LEAD ATTORNEY, BERGER &amp; MONTAGUE, P.C., PHILADELPHIA, PA; RUDOLPH GARCIA, Wynnewood,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DOES 1-100, Defendant: MARTIN I. TWERSKY, LEAD ATTORNEY,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BROWNSTONE MUSHROOM FARMS, INC., COUNTRY FRESH MUSHROOM CO., ROBERT A. FERANTO, JR., T/A BELLA MUSHROOM FARMS, FOREST MUSHROOM INC., GINO GASPARI &amp; SONS, INC., Defendants: TERRI A. PAWELSKI, LEAD ATTORNEY, WILLIAM A. DESTEFANO, STEVENS &amp; LEE, PHILADELPHIA, PA; H. LADDIE MONTAGUE, JR., BERGER &amp; MONTAGUE PC, PHILA, PA; JENNIFER E. MACNAUGHTON, BERGER MONTAGUE PC, PHILADELPHIA, PA; MARTIN I. TWERSKY, LEAD ATTORNEY, BERGER &amp; MONTAGUE, P.C., PHILADELPHIA, PA; RUDOLPH GARCIA, Wynnewood,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CREEKSIDE MUSHROOMS LTD., Defendant: BARBARA T. SICALIDES, PEPPER HAMILTON LLP,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GIORGI MUSHROOM COMPANY, GIORGIO FOODS, INC., Defendants: JACQUELINE P. RUBIN,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LEAD ATTORNEY, PAUL WEISS RIFKIND WHARTON GARRISON LLP, NEW YORK, NY; TERRI A. PAWELSKI, LEAD ATTORNEY, WILLIAM A. DESTEFANO, STEVENS &amp; LEE, PHILADELPHIA, PA; H. LADDIE MONTAGUE, JR., BERGER &amp; MONTAGUE PC, PHILA, PA; JOSHUA SARNER, SARNER &amp; ASSOCIATES, PHILADELPHIA, PA; MARTIN I. TWERSKY, LEAD ATTORNEY, BERGER &amp; MONTAGUE, P.C., PHILADELPHIA, PA; MOSES SILVERMAN, PAUL WEISS RIFKIND WHARTON &amp; GARRISON LLP, NEW YORK, NY; RUDOLPH GARCIA, Wynnewood,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HARVEST FRESH FARMS, INC., Defendant: TERRI A. PAWELSKI, WILLIAM A. DESTEFANO, LEAD ATTORNEYS, STEVENS &amp; LEE, PHILADELPHIA, PA; H. LADDIE MONTAGUE, JR., BERGER &amp; MONTAGUE PC, PHILA, PA; MARTIN I. TWERSKY, LEAD ATTORNEY, BERGER &amp; MONTAGUE, P.C., PHILADELPHIA, PA; RUDOLPH GARCIA, Wynnewood,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JM FARMS, INC., Defendant: DANIEL RICHARD FUNK, JASON S. TAYLOR, LEAD ATTORNEYS, CONNER &amp; WINTERS LLP, TULSA, OK; FRANCESCO P. TRAPANI, Kreher &amp; Trapani LLP,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KITCHEN PRIDE MUSHROOMS, Defendant: BRIAN KINT, HAUSFELD LLP, PHILADELPHIA, PA; F. BRENDEN COLLER, KEVIN T. KERNS, COZEN O'CONNOR, PHILADELPHIA, PA; MARTIN I. TWERSKY, BERGER &amp; MONTAGUE, P.C., PHILADELPHIA, PA; NEILL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 KLING, HARKINS CUNNINGHAM LLP,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LEONE PIZZINI AND SON, INC., LOUIS M. MARSON, JR., INC., LRP-M MUSHROOMS LLC, OAKSHIRE MUSHROOM FARM, INC., SOUTH MILL MUSHROOM SALES, INC., UNITED MUSHROOM FARMS COOPERATIVE, INC., Defendants: TERRI A. PAWELSKI, LEAD ATTORNEY, WILLIAM A. DESTEFANO, STEVENS &amp; LEE, PHILADELPHIA, PA; H. LADDIE MONTAGUE , JR., LEAD ATTORNEY, BERGER &amp; MONTAGUE PC, PHILA, PA; MARTIN I. TWERSKY,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BASCIANI &amp; SONS, INC., Defendant: DONNA M. ALBANI, LAW OFFICES OF DONNA M. ALBANI, GLEN MILLS, PA; MARTIN I. TWERSKY, BERGER &amp; MONTAGUE, P.C., PHILADELPHIA, PA; THOMAS K. SCHINDLER, SCHINDLER LAW GROUP LLC, KENNETH SQUARE,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 CUTONE MUSHROOM CO., INC., Defendant: JOEL I. FISHBEIN, LEAD ATTORNEY, LITCHFIELD CAVO LLP, PHILADELPHIA, PA; MARTIN I. TWERSKY, BERGER &amp; MONTAGUE,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MASHA &amp; TOTO, INC., T/A M&amp;T MUSHROOMS, W&amp;P MUSHROOM INC., Defendant: WILLIAM A. DESTEFANO, LEAD ATTORNEY,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MUSHROOM ALLIANCE, INC., Defendant: AMY R. RICHTER, LEAD ATTORNEY, PORTLAND, OR; MATTHEW J. BORGER, LEAD ATTORNEY, KLEHR HARRISON HARVEY BRANZBURG L.L.P., PHILADELPHIA, PA; MARTIN I. TWERSKY, BERGER &amp; MONTAGUE, P.C., PHILADELPHIA, PA; WILLIAM A. DESTEFANO, STEVENS &amp; LEE,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COUNCIL OF FARMER COOPERATIVES, Movant: JAMES A. BACKSTROM, LEAD ATTORNEY, JAMES A. BACKSTROM, COUNSELLOR AT LAW,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BASCIANI FOODS, INC., Movant: LISANNE L. MIKULA, DIORIO SERENI FRONT &amp; PLUM STS., MEDIA, PA; MARK A. SERENI, DIORIO &amp; SERENI, LLP, MEDIA, PA; THOMAS K. SCHINDLER, SCHINDLER LAW GROUP LLC, KENNETH SQUARE, PA.</w:t>
      </w:r>
    </w:p>
    <w:p>
      <w:pPr>
        <w:keepNext w:val="0"/>
        <w:widowControl w:val="0"/>
        <w:spacing w:before="240" w:after="0" w:line="260" w:lineRule="atLeast"/>
        <w:ind w:left="0" w:right="0" w:firstLine="0"/>
        <w:jc w:val="left"/>
      </w:pPr>
      <w:bookmarkStart w:id="17" w:name="Judges"/>
      <w:bookmarkEnd w:id="1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THOMAS N. O'NEILL, JR., J.</w:t>
      </w:r>
    </w:p>
    <w:p>
      <w:pPr>
        <w:keepNext w:val="0"/>
        <w:widowControl w:val="0"/>
        <w:spacing w:before="240" w:after="0" w:line="260" w:lineRule="atLeast"/>
        <w:ind w:left="0" w:right="0" w:firstLine="0"/>
        <w:jc w:val="left"/>
      </w:pPr>
      <w:bookmarkStart w:id="18" w:name="Opinion by"/>
      <w:bookmarkEnd w:id="1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N. O'NEILL, JR.</w:t>
      </w:r>
    </w:p>
    <w:p>
      <w:pPr>
        <w:keepNext/>
        <w:widowControl w:val="0"/>
        <w:spacing w:before="240" w:after="0" w:line="340" w:lineRule="atLeast"/>
        <w:ind w:left="0" w:right="0" w:firstLine="0"/>
        <w:jc w:val="left"/>
      </w:pPr>
      <w:bookmarkStart w:id="19" w:name="Opinion"/>
      <w:bookmarkEnd w:id="1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20" w:name="Bookmark_para_1"/>
      <w:bookmarkEnd w:id="20"/>
      <w:r>
        <w:rPr>
          <w:rFonts w:ascii="arial" w:eastAsia="arial" w:hAnsi="arial" w:cs="arial"/>
          <w:b w:val="0"/>
          <w:i w:val="0"/>
          <w:strike w:val="0"/>
          <w:noProof w:val="0"/>
          <w:color w:val="000000"/>
          <w:position w:val="0"/>
          <w:sz w:val="20"/>
          <w:u w:val="none"/>
          <w:vertAlign w:val="baseline"/>
        </w:rPr>
        <w:t xml:space="preserve">This long-running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which has been certified as a class action,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arises out of plaintiffs'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claim that defendants acted in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w:t>
      </w:r>
      <w:hyperlink r:id="rId17"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by conspiring "to set artificially-inflated prices" for fresh agaricus mushrooms,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185 at ¶ 93, and through the implementation of a supply control scheme related to the production of mushrooms.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94. Certain defendants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seek partial summary judgment with respect to plaintiffs'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claims against defendant John Pia. Now before me with respect to their motion are: defendants' motion for partial summary judgment on the issue of entitlement to immunity from plaintiffs'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for Reconsideration of the Court's March 2, 2009 Opinion (Dkt. No. 513), plaintiffs' opposition to the motion for summary judgment with respect to John Pia (Dkt. No. 612), certain defendants' reply in support of the motion of John Pia for partial summary judgment (Dkt. No. 615), plaintiffs' sur-reply in opposition to the motion of John Pia for partial summary judgment (Dkt. No. 650) and defendant John Pia's sur-reply in support of the motion for partial summary judgment (Dkt. No. 652).</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For the reasons that follow, I will deny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6" w:name="Bookmark_para_2"/>
      <w:bookmarkEnd w:id="26"/>
      <w:r>
        <w:rPr>
          <w:rFonts w:ascii="arial" w:eastAsia="arial" w:hAnsi="arial" w:cs="arial"/>
          <w:b w:val="0"/>
          <w:i w:val="0"/>
          <w:strike w:val="0"/>
          <w:noProof w:val="0"/>
          <w:color w:val="000000"/>
          <w:position w:val="0"/>
          <w:sz w:val="20"/>
          <w:u w:val="none"/>
          <w:vertAlign w:val="baseline"/>
        </w:rPr>
        <w:t xml:space="preserve">John Pia was a 50% co-owner and secretary/treasurer of Kaolin Mushroom Farms, a mushroom grower and a member of the Eastern Mushroom Marketing Cooperative (EMMC). Dkt. No. 245, Ex. 25 (Pia. Dep.) at 7:12-14, 7:22-24, 11:13-15; 33:18-34:8. Pia was also a 50% co-owner and president of South Mill Mushroom Sales, Inc., a mushroom distribution entity.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8:5-18. Additionally, Pia was the president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EMMC in 2000, when it came into being. Dkt. No. 612, Ex. A. (Pia Dep.) at 55:8-18. When they first moved for summary judgment in Pia's favor, certain defendants noted that when asked what his duties were as president of the EMMC, Pia testified, "[c]heerleading." Dkt. No. 245 at 78, </w:t>
      </w:r>
      <w:r>
        <w:rPr>
          <w:rFonts w:ascii="arial" w:eastAsia="arial" w:hAnsi="arial" w:cs="arial"/>
          <w:b w:val="0"/>
          <w:i w:val="0"/>
          <w:strike w:val="0"/>
          <w:noProof w:val="0"/>
          <w:color w:val="000000"/>
          <w:position w:val="0"/>
          <w:sz w:val="20"/>
          <w:u w:val="single"/>
          <w:vertAlign w:val="baseline"/>
        </w:rPr>
        <w:t>citing</w:t>
      </w:r>
      <w:r>
        <w:rPr>
          <w:rFonts w:ascii="arial" w:eastAsia="arial" w:hAnsi="arial" w:cs="arial"/>
          <w:b w:val="0"/>
          <w:i w:val="0"/>
          <w:strike w:val="0"/>
          <w:noProof w:val="0"/>
          <w:color w:val="000000"/>
          <w:position w:val="0"/>
          <w:sz w:val="20"/>
          <w:u w:val="none"/>
          <w:vertAlign w:val="baseline"/>
        </w:rPr>
        <w:t xml:space="preserve"> Pia Dep. at 56:2-4. Pressed for further information, he testified that "the first year was pretty much consumed [with] toning the anger and difficulties that members had in their prior life with eachother."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56:9-12. Consistent with his testimony, in a July 2, 2001 email from Pia to the EMMC, he explained that he was "stepping aside as President" and noted that among the EMMC's "tremendous strides" during his tenure was having</w:t>
      </w:r>
    </w:p>
    <w:p>
      <w:pPr>
        <w:keepNext w:val="0"/>
        <w:widowControl w:val="0"/>
        <w:spacing w:after="0" w:line="260" w:lineRule="atLeast"/>
        <w:ind w:left="400" w:right="0" w:firstLine="0"/>
        <w:jc w:val="both"/>
      </w:pPr>
      <w:bookmarkStart w:id="27" w:name="Bookmark_para_3"/>
      <w:bookmarkEnd w:id="27"/>
      <w:r>
        <w:rPr>
          <w:rFonts w:ascii="arial" w:eastAsia="arial" w:hAnsi="arial" w:cs="arial"/>
          <w:b w:val="0"/>
          <w:i w:val="0"/>
          <w:strike w:val="0"/>
          <w:noProof w:val="0"/>
          <w:color w:val="000000"/>
          <w:position w:val="0"/>
          <w:sz w:val="20"/>
          <w:u w:val="none"/>
          <w:vertAlign w:val="baseline"/>
        </w:rPr>
        <w:t>brought together people from all over the country that 12 months ago, had either a poor relationship or no relationship at all. In all except the most rare circumstances we have come to trust the words and actions of fellow members. Who would have thought this possible one year ago? We were so consumed with cutting each other's throats we could not see what it was doing to us.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513, App'x, Ex.G at CREEK-RFP-0000349. As president, Pia was a member of the EMMC's executive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committee which, he testified, "was an informal group that would . . . throw ideas around and make recommendations to the board." Dkt. No. 245, Ex. 25 (Pia Dep.) at 58:18-21.</w:t>
      </w:r>
    </w:p>
    <w:p>
      <w:pPr>
        <w:keepNext w:val="0"/>
        <w:widowControl w:val="0"/>
        <w:spacing w:before="200" w:after="0" w:line="260" w:lineRule="atLeast"/>
        <w:ind w:left="0" w:right="0" w:firstLine="0"/>
        <w:jc w:val="both"/>
      </w:pPr>
      <w:bookmarkStart w:id="28" w:name="Bookmark_para_4"/>
      <w:bookmarkEnd w:id="28"/>
      <w:r>
        <w:rPr>
          <w:rFonts w:ascii="arial" w:eastAsia="arial" w:hAnsi="arial" w:cs="arial"/>
          <w:b w:val="0"/>
          <w:i w:val="0"/>
          <w:strike w:val="0"/>
          <w:noProof w:val="0"/>
          <w:color w:val="000000"/>
          <w:position w:val="0"/>
          <w:sz w:val="20"/>
          <w:u w:val="none"/>
          <w:vertAlign w:val="baseline"/>
        </w:rPr>
        <w:t xml:space="preserve">Plaintiffs contend that during Pia's tenure as president, "the EMMC implemented the price-fixing agreements at issue here, including setting the prices to be charged and implementing the first price fix in February 2001." Dkt. No. 612 at 4. Asked whether the EMMC adopted minimum pricing "[a]s part of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EMMC," Pia testified that it "did adopt minimum pricing." Dkt. No. 245, Ex. 25 (Pia Dep.) at 59:4-8. However, Pia testified that he could not explain how the minimum pricing was set or "recall the basis for the levels of minimum pricing in the various regions."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59:9-15. Asked whether, to his knowledge, he "or any of the member of the EMMC attempt[ed] to get a nonmember to agree to any type of minimum pricing or any of the policies of the EMMC," Pia responded "[n]o."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363:4-11. Asked whether, "[n]otwithstanding advice from counsel to the contrary," he "or any other member of the EMMC attempt[ed] to induce or persuade or agree with a nonmember that the nonmember should follow one or more EMMC policy," Pia responded, "[n]o. Never."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363:19-25. However,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record in this litigation also includes the deposition testimony of Stuart Thomas,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who testified that it was John Pia who verbally communicated to him the prices at which the South Mill distribution entity — which was not an EMMC member — should resell mushrooms to the market. Dkt. No. 612, Ex. B (Thomas Dep.) at 47:22-48:10 ("Q. . . . who communicated to you the prices at which you should sell? A. John Pia.");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92:16-93:10 ("Q. . . . why are your prices set by the EMMC . . . ? . . . A. I was informed by John Pia that I had to follow the rules of the EMMC. . . . . Q. Who verbally communicated that pricing? A. John Pia."). Also, in his July 2, 2001 email to the EMMC, Pia wrote:</w:t>
      </w:r>
    </w:p>
    <w:p>
      <w:pPr>
        <w:keepNext w:val="0"/>
        <w:widowControl w:val="0"/>
        <w:spacing w:before="200" w:after="0" w:line="260" w:lineRule="atLeast"/>
        <w:ind w:left="400" w:right="0" w:firstLine="0"/>
        <w:jc w:val="both"/>
      </w:pPr>
      <w:bookmarkStart w:id="30" w:name="Bookmark_para_5"/>
      <w:bookmarkEnd w:id="30"/>
      <w:r>
        <w:rPr>
          <w:rFonts w:ascii="arial" w:eastAsia="arial" w:hAnsi="arial" w:cs="arial"/>
          <w:b w:val="0"/>
          <w:i w:val="0"/>
          <w:strike w:val="0"/>
          <w:noProof w:val="0"/>
          <w:color w:val="000000"/>
          <w:position w:val="0"/>
          <w:sz w:val="20"/>
          <w:u w:val="none"/>
          <w:vertAlign w:val="baseline"/>
        </w:rPr>
        <w:t>On the subject of market pricing: I think you have to go back to our fathers['] time, or before, to find a situation which allowed us to realize the levels of fresh market pricing that we now see, during a period of unprecedented low cannery prices. Of all the things that the EMMC has done, this has to stand out as . . . the most significant accomplishment. Yet, it doesn't happen by magic. It happens only because each of us as members, maintains our honor and commitment to those things we have agreed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do as a team.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No. 513, App'x, Ex.G at CREEK-RFP-0000349. He wrote that "[i]ncreased pricing in the future should allow us to keep up with the 'cost of business[.]' No longer should we hope for the demise of an industry member to be able to realize pricing suitable to maintain our own existence."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CREEK-RFP-0000350. Concluding his email, Pia asked, "[w]here would our fresh market pricing be today with cannery pricing at $.30 and $.20 . . . ?"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1" w:name="Bookmark_para_6"/>
      <w:bookmarkEnd w:id="31"/>
      <w:r>
        <w:rPr>
          <w:rFonts w:ascii="arial" w:eastAsia="arial" w:hAnsi="arial" w:cs="arial"/>
          <w:b w:val="0"/>
          <w:i w:val="0"/>
          <w:strike w:val="0"/>
          <w:noProof w:val="0"/>
          <w:color w:val="000000"/>
          <w:position w:val="0"/>
          <w:sz w:val="20"/>
          <w:u w:val="none"/>
          <w:vertAlign w:val="baseline"/>
        </w:rPr>
        <w:t>Pia also testified that he thought he had been on a "supply committee" in the EMMC; he testified that it was "a committee that dealt with joint purchasing, purchasing goods together in bulk form, trying to pass value to membership in that way" — i.e., the term "supply" in the committee's name did not refer to the alleged supply control scheme. Dkt. No. 245, Ex. 25 (Pia Dep.) at 58:9-15. However, there is other evidence of record that would support a finding that Pia was involved in the EMMC's efforts to control the supply of mushrooms. In an April 21, 2001 email, he wrote that "[w]e all suffer when things are bad. The purpose of the EMMC is to minimize the number of times we face that problem. It is working. We have accomplished nothing short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miracle." Dkt. No. 273, Ex. 21. He explained that "[f]or months now, I have worked my butt off at the expense of my own company to further this cause in which I so much believe."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Discussing the possibility that two closed mushroom farms owned by non-EMMC member Money's — Dublin and Hillsboro — could return to mushroom production, he wrote that</w:t>
      </w:r>
    </w:p>
    <w:p>
      <w:pPr>
        <w:keepNext w:val="0"/>
        <w:widowControl w:val="0"/>
        <w:spacing w:after="0" w:line="260" w:lineRule="atLeast"/>
        <w:ind w:left="400" w:right="0" w:firstLine="0"/>
        <w:jc w:val="both"/>
      </w:pPr>
      <w:bookmarkStart w:id="32" w:name="Bookmark_para_7"/>
      <w:bookmarkEnd w:id="32"/>
      <w:r>
        <w:rPr>
          <w:rFonts w:ascii="arial" w:eastAsia="arial" w:hAnsi="arial" w:cs="arial"/>
          <w:b w:val="0"/>
          <w:i w:val="0"/>
          <w:strike w:val="0"/>
          <w:noProof w:val="0"/>
          <w:color w:val="000000"/>
          <w:position w:val="0"/>
          <w:sz w:val="20"/>
          <w:u w:val="none"/>
          <w:vertAlign w:val="baseline"/>
        </w:rPr>
        <w:t>[o]n Tuesday, the Executive Committee will begin to work on the supply side issue. Hopefully, if and when we can come up with what we think is a workable solution, we will address the membership with the hopes of being able to raise the money it takes to carry out the job. If you agree with the plan, and support us with the funding, we will make it happen.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Then, on May 23, 2001, Pia wrote to the EMMC that, at the Money's auction, there had been "three other bidders" for the Money's farms including non-EMMC member mushroom grower, Rakraha and that "our challenge was to unseat the incumbent bid from Rakraha." Dkt. No. 273, Ex. 29. He described the outcome as "a day of victory," because the EMMC was successful in making the winning bid for the properties (and for a dollar amount "well below the maximum bid authorized by the membership").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June 9, 2001 email, Pia wrote that the duties of the EMMC's Executive Committee</w:t>
      </w:r>
    </w:p>
    <w:p>
      <w:pPr>
        <w:keepNext w:val="0"/>
        <w:widowControl w:val="0"/>
        <w:spacing w:after="0" w:line="260" w:lineRule="atLeast"/>
        <w:ind w:left="400" w:right="0" w:firstLine="0"/>
        <w:jc w:val="both"/>
      </w:pPr>
      <w:bookmarkStart w:id="33" w:name="Bookmark_para_8"/>
      <w:bookmarkEnd w:id="33"/>
      <w:r>
        <w:rPr>
          <w:rFonts w:ascii="arial" w:eastAsia="arial" w:hAnsi="arial" w:cs="arial"/>
          <w:b w:val="0"/>
          <w:i w:val="0"/>
          <w:strike w:val="0"/>
          <w:noProof w:val="0"/>
          <w:color w:val="000000"/>
          <w:position w:val="0"/>
          <w:sz w:val="20"/>
          <w:u w:val="none"/>
          <w:vertAlign w:val="baseline"/>
        </w:rPr>
        <w:t>have recently consisted of carrying out the responsibilities of organizing and fulfilling the needs required for the purchase of the previously failed attempt to purchase the operating Money's facilities, and lastly dealing with the project of renting mushroom growing doubles in Chester and Berks County, for the purpose of creating order in the supply side of business.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513, App'x, Ex. J at 1-2 (CREEK000112-13). In a February 8, 2002 email, he wrote to representatives of EMMC members that they should "be prepared to discuss whether we want to buy [a] farm ou[t] from under Blue Mountain," noting "the importance of continuing on the plan of absorbing available plants/production" and cautioning that the EMMC was handing power "over to non members by not battling them toe to toe in the marketplace . . . ." Dkt. No. 273. Ex. 30.</w:t>
      </w:r>
    </w:p>
    <w:p>
      <w:pPr>
        <w:keepNext w:val="0"/>
        <w:widowControl w:val="0"/>
        <w:spacing w:before="200" w:after="0" w:line="260" w:lineRule="atLeast"/>
        <w:ind w:left="0" w:right="0" w:firstLine="0"/>
        <w:jc w:val="both"/>
      </w:pPr>
      <w:bookmarkStart w:id="34" w:name="Bookmark_para_9"/>
      <w:bookmarkEnd w:id="34"/>
      <w:bookmarkStart w:id="35" w:name="Bookmark_I5N6YFV428T52R0020000400"/>
      <w:bookmarkEnd w:id="35"/>
      <w:r>
        <w:rPr>
          <w:rFonts w:ascii="arial" w:eastAsia="arial" w:hAnsi="arial" w:cs="arial"/>
          <w:b w:val="0"/>
          <w:i w:val="0"/>
          <w:strike w:val="0"/>
          <w:noProof w:val="0"/>
          <w:color w:val="000000"/>
          <w:position w:val="0"/>
          <w:sz w:val="20"/>
          <w:u w:val="none"/>
          <w:vertAlign w:val="baseline"/>
        </w:rPr>
        <w:t xml:space="preserve">In this litigation, I have previously considered and rejected defendants' contention that, because of the </w:t>
      </w:r>
      <w:hyperlink r:id="rId18" w:history="1">
        <w:r>
          <w:rPr>
            <w:rFonts w:ascii="arial" w:eastAsia="arial" w:hAnsi="arial" w:cs="arial"/>
            <w:b w:val="0"/>
            <w:i/>
            <w:strike w:val="0"/>
            <w:noProof w:val="0"/>
            <w:color w:val="0077CC"/>
            <w:position w:val="0"/>
            <w:sz w:val="20"/>
            <w:u w:val="single"/>
            <w:vertAlign w:val="baseline"/>
          </w:rPr>
          <w:t>Capper-Volstead Act</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 U.S.C. § 291</w:t>
        </w:r>
      </w:hyperlink>
      <w:r>
        <w:rPr>
          <w:rFonts w:ascii="arial" w:eastAsia="arial" w:hAnsi="arial" w:cs="arial"/>
          <w:b w:val="0"/>
          <w:i w:val="0"/>
          <w:strike w:val="0"/>
          <w:noProof w:val="0"/>
          <w:color w:val="000000"/>
          <w:position w:val="0"/>
          <w:sz w:val="20"/>
          <w:u w:val="none"/>
          <w:vertAlign w:val="baseline"/>
        </w:rPr>
        <w:t xml:space="preserve">, the EMMC and its members are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any price fixing or supply control efforts.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4" w:name="Bookmark_I5N6YFV428T52R0010000400"/>
      <w:bookmarkEnd w:id="44"/>
      <w:hyperlink r:id="rId20"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621 F. Supp. 2d 274 (E.D. Pa.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5" w:name="Bookmark_I5N6YFV428T52R0030000400"/>
      <w:bookmarkEnd w:id="45"/>
      <w:hyperlink r:id="rId21" w:history="1">
        <w:r>
          <w:rPr>
            <w:rFonts w:ascii="arial" w:eastAsia="arial" w:hAnsi="arial" w:cs="arial"/>
            <w:b w:val="0"/>
            <w:i/>
            <w:strike w:val="0"/>
            <w:noProof w:val="0"/>
            <w:color w:val="0077CC"/>
            <w:position w:val="0"/>
            <w:sz w:val="20"/>
            <w:u w:val="single"/>
            <w:vertAlign w:val="baseline"/>
          </w:rPr>
          <w:t>In re Mushroom</w:t>
        </w:r>
      </w:hyperlink>
      <w:hyperlink r:id="rId21" w:history="1">
        <w:r>
          <w:rPr>
            <w:rFonts w:ascii="arial" w:eastAsia="arial" w:hAnsi="arial" w:cs="arial"/>
            <w:b w:val="0"/>
            <w:i/>
            <w:strike w:val="0"/>
            <w:noProof w:val="0"/>
            <w:color w:val="0077CC"/>
            <w:position w:val="0"/>
            <w:sz w:val="20"/>
            <w:u w:val="single"/>
            <w:vertAlign w:val="baseline"/>
          </w:rPr>
          <w:t>, 54 F. Supp. 3d 382, 384 (E.D. Pa. 2014)</w:t>
        </w:r>
      </w:hyperlink>
      <w:r>
        <w:rPr>
          <w:rFonts w:ascii="arial" w:eastAsia="arial" w:hAnsi="arial" w:cs="arial"/>
          <w:b w:val="0"/>
          <w:i w:val="0"/>
          <w:strike w:val="0"/>
          <w:noProof w:val="0"/>
          <w:color w:val="000000"/>
          <w:position w:val="0"/>
          <w:sz w:val="20"/>
          <w:u w:val="none"/>
          <w:vertAlign w:val="baseline"/>
        </w:rPr>
        <w:t>. However, certain defendants support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instant motion for summary judgment with their assertion that it is an "uncontested material fact[ ]" that "based on the advice of counsel, the individual Defendant EMMC member growing companies and their affiliated distribution companies had a good faith belief that they were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Dkt. No. 513 (Mem.) at 1. Certain defendants contend that "the record reflects that Pia (as did every other individual affiliated with a member of the EMMC) relied on counsel from 'a prestigious law firm' who 'put together every aspect of the new co-op' and EMMC 'moves' were blessed before a decision was taken."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Dkt. No. 615 at ECF p. 1-2 (citations omitted).</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 xml:space="preserve">In a June 9, 2001 email in which Pia detailed the formation of the EMMC, he wrote that the EMMC's lawyer "put together every aspect of the new Co-op. From By-laws, to Articles of Incorporation, Membership Agreements, etc. He has briefed each and every member as to the 'do's and don'ts', and constantly reinforces them via email communication, attendance at both general membership meetings and Board of Director meetings." Dkt. No. 513, App'x, Ex. J at 1 (CREEK000112). Pia wrote that "[t]he Co-op continues today, operating well within the limits of the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support of their motion, certain defendants cite "Pia's uncontroverted testimony . . . that: '. . . all legal questions, any time we thought we could get into thin ice . . . . [w]e discussed it with [counsel] . . . and eventually all those moves were blessed before a decision was taken." Dkt. No. 615 at ECF p. 6, </w:t>
      </w:r>
      <w:r>
        <w:rPr>
          <w:rFonts w:ascii="arial" w:eastAsia="arial" w:hAnsi="arial" w:cs="arial"/>
          <w:b w:val="0"/>
          <w:i w:val="0"/>
          <w:strike w:val="0"/>
          <w:noProof w:val="0"/>
          <w:color w:val="000000"/>
          <w:position w:val="0"/>
          <w:sz w:val="20"/>
          <w:u w:val="single"/>
          <w:vertAlign w:val="baseline"/>
        </w:rPr>
        <w:t>quoting</w:t>
      </w:r>
      <w:r>
        <w:rPr>
          <w:rFonts w:ascii="arial" w:eastAsia="arial" w:hAnsi="arial" w:cs="arial"/>
          <w:b w:val="0"/>
          <w:i w:val="0"/>
          <w:strike w:val="0"/>
          <w:noProof w:val="0"/>
          <w:color w:val="000000"/>
          <w:position w:val="0"/>
          <w:sz w:val="20"/>
          <w:u w:val="none"/>
          <w:vertAlign w:val="baseline"/>
        </w:rPr>
        <w:t xml:space="preserve"> Pia Dep. at 363. John Pia contends "that his reliance on counsel left him with no inkling he (or other members of the EMMC) were violating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 . . ." Dkt. No. 652 at ECF p.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51" w:name="Bookmark_para_12"/>
      <w:bookmarkEnd w:id="51"/>
      <w:bookmarkStart w:id="52" w:name="Bookmark_LNHNREFclscc1"/>
      <w:bookmarkEnd w:id="52"/>
      <w:hyperlink r:id="rId2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3"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w:t>
      </w:r>
      <w:bookmarkStart w:id="53" w:name="Bookmark_I5N6YFV42SF7YG0040000400"/>
      <w:bookmarkEnd w:id="53"/>
      <w:bookmarkStart w:id="54" w:name="Bookmark_I5N6YFV42HM6DV0030000400"/>
      <w:bookmarkEnd w:id="54"/>
      <w:bookmarkStart w:id="55" w:name="Bookmark_I5N6YFV42HM6DV0050000400"/>
      <w:bookmarkEnd w:id="55"/>
      <w:r>
        <w:rPr>
          <w:rFonts w:ascii="arial" w:eastAsia="arial" w:hAnsi="arial" w:cs="arial"/>
          <w:b w:val="0"/>
          <w:i w:val="0"/>
          <w:strike w:val="0"/>
          <w:noProof w:val="0"/>
          <w:color w:val="000000"/>
          <w:position w:val="0"/>
          <w:sz w:val="20"/>
          <w:u w:val="none"/>
          <w:vertAlign w:val="baseline"/>
        </w:rPr>
        <w:t xml:space="preserve">"[G]enerally,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court applies the traditional summary judgment standard."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56" w:name="Bookmark_I5N6YFV42SF7YG0030000400"/>
      <w:bookmarkEnd w:id="56"/>
      <w:hyperlink r:id="rId24" w:history="1">
        <w:r>
          <w:rPr>
            <w:rFonts w:ascii="arial" w:eastAsia="arial" w:hAnsi="arial" w:cs="arial"/>
            <w:b w:val="0"/>
            <w:i/>
            <w:strike w:val="0"/>
            <w:noProof w:val="0"/>
            <w:color w:val="0077CC"/>
            <w:position w:val="0"/>
            <w:sz w:val="20"/>
            <w:u w:val="single"/>
            <w:vertAlign w:val="baseline"/>
          </w:rPr>
          <w:t>InterVest Fin. Servs. v. S.G. Cowen Secs. Corp.</w:t>
        </w:r>
      </w:hyperlink>
      <w:hyperlink r:id="rId24" w:history="1">
        <w:r>
          <w:rPr>
            <w:rFonts w:ascii="arial" w:eastAsia="arial" w:hAnsi="arial" w:cs="arial"/>
            <w:b w:val="0"/>
            <w:i/>
            <w:strike w:val="0"/>
            <w:noProof w:val="0"/>
            <w:color w:val="0077CC"/>
            <w:position w:val="0"/>
            <w:sz w:val="20"/>
            <w:u w:val="single"/>
            <w:vertAlign w:val="baseline"/>
          </w:rPr>
          <w:t>, 206 F. Supp. 2d 702, 710 (E.D. Pa.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57" w:name="Bookmark_I5N6YFV42SF7YG0050000400"/>
      <w:bookmarkEnd w:id="57"/>
      <w:hyperlink r:id="rId25" w:history="1">
        <w:r>
          <w:rPr>
            <w:rFonts w:ascii="arial" w:eastAsia="arial" w:hAnsi="arial" w:cs="arial"/>
            <w:b w:val="0"/>
            <w:i/>
            <w:strike w:val="0"/>
            <w:noProof w:val="0"/>
            <w:color w:val="0077CC"/>
            <w:position w:val="0"/>
            <w:sz w:val="20"/>
            <w:u w:val="single"/>
            <w:vertAlign w:val="baseline"/>
          </w:rPr>
          <w:t>InterVest, Inc. v. Bloomberg, L.P.</w:t>
        </w:r>
      </w:hyperlink>
      <w:hyperlink r:id="rId25" w:history="1">
        <w:r>
          <w:rPr>
            <w:rFonts w:ascii="arial" w:eastAsia="arial" w:hAnsi="arial" w:cs="arial"/>
            <w:b w:val="0"/>
            <w:i/>
            <w:strike w:val="0"/>
            <w:noProof w:val="0"/>
            <w:color w:val="0077CC"/>
            <w:position w:val="0"/>
            <w:sz w:val="20"/>
            <w:u w:val="single"/>
            <w:vertAlign w:val="baseline"/>
          </w:rPr>
          <w:t>, 340 F.3d 144 (3d Cir. 2003)</w:t>
        </w:r>
      </w:hyperlink>
      <w:r>
        <w:rPr>
          <w:rFonts w:ascii="arial" w:eastAsia="arial" w:hAnsi="arial" w:cs="arial"/>
          <w:b w:val="0"/>
          <w:i w:val="0"/>
          <w:strike w:val="0"/>
          <w:noProof w:val="0"/>
          <w:color w:val="000000"/>
          <w:position w:val="0"/>
          <w:sz w:val="20"/>
          <w:u w:val="none"/>
          <w:vertAlign w:val="baseline"/>
        </w:rPr>
        <w:t xml:space="preserve">. Summary judgment will be granted under </w:t>
      </w:r>
      <w:hyperlink r:id="rId14"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"against a party who fails to make a showing sufficient to establish the existence of an element essential to that party's case, and on which that party will bear the burden of proof at trial." </w:t>
      </w:r>
      <w:bookmarkStart w:id="58" w:name="Bookmark_I5N6YFV42HM6DV0020000400"/>
      <w:bookmarkEnd w:id="58"/>
      <w:hyperlink r:id="rId26" w:history="1">
        <w:r>
          <w:rPr>
            <w:rFonts w:ascii="arial" w:eastAsia="arial" w:hAnsi="arial" w:cs="arial"/>
            <w:b w:val="0"/>
            <w:i/>
            <w:strike w:val="0"/>
            <w:noProof w:val="0"/>
            <w:color w:val="0077CC"/>
            <w:position w:val="0"/>
            <w:sz w:val="20"/>
            <w:u w:val="single"/>
            <w:vertAlign w:val="baseline"/>
          </w:rPr>
          <w:t>Celotex Corp. v. Catrett</w:t>
        </w:r>
      </w:hyperlink>
      <w:hyperlink r:id="rId26"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59" w:name="Bookmark_I5N6YFV428T52S0020000400"/>
      <w:bookmarkEnd w:id="59"/>
      <w:r>
        <w:rPr>
          <w:rFonts w:ascii="arial" w:eastAsia="arial" w:hAnsi="arial" w:cs="arial"/>
          <w:b w:val="0"/>
          <w:i w:val="0"/>
          <w:strike w:val="0"/>
          <w:noProof w:val="0"/>
          <w:color w:val="000000"/>
          <w:position w:val="0"/>
          <w:sz w:val="20"/>
          <w:u w:val="none"/>
          <w:vertAlign w:val="baseline"/>
        </w:rPr>
        <w:t xml:space="preserve">The party moving for summary judgment bears the burden of demonstrating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0" w:name="Bookmark_I5N6YFV42HM6DV0040000400"/>
      <w:bookmarkEnd w:id="60"/>
      <w:hyperlink r:id="rId26" w:history="1">
        <w:r>
          <w:rPr>
            <w:rFonts w:ascii="arial" w:eastAsia="arial" w:hAnsi="arial" w:cs="arial"/>
            <w:b w:val="0"/>
            <w:i/>
            <w:strike w:val="0"/>
            <w:noProof w:val="0"/>
            <w:color w:val="0077CC"/>
            <w:position w:val="0"/>
            <w:sz w:val="20"/>
            <w:u w:val="single"/>
            <w:vertAlign w:val="baseline"/>
          </w:rPr>
          <w:t>Celotex</w:t>
        </w:r>
      </w:hyperlink>
      <w:hyperlink r:id="rId26" w:history="1">
        <w:r>
          <w:rPr>
            <w:rFonts w:ascii="arial" w:eastAsia="arial" w:hAnsi="arial" w:cs="arial"/>
            <w:b w:val="0"/>
            <w:i/>
            <w:strike w:val="0"/>
            <w:noProof w:val="0"/>
            <w:color w:val="0077CC"/>
            <w:position w:val="0"/>
            <w:sz w:val="20"/>
            <w:u w:val="single"/>
            <w:vertAlign w:val="baseline"/>
          </w:rPr>
          <w:t>, 477 U.S. at 322-23</w:t>
        </w:r>
      </w:hyperlink>
      <w:r>
        <w:rPr>
          <w:rFonts w:ascii="arial" w:eastAsia="arial" w:hAnsi="arial" w:cs="arial"/>
          <w:b w:val="0"/>
          <w:i w:val="0"/>
          <w:strike w:val="0"/>
          <w:noProof w:val="0"/>
          <w:color w:val="000000"/>
          <w:position w:val="0"/>
          <w:sz w:val="20"/>
          <w:u w:val="none"/>
          <w:vertAlign w:val="baseline"/>
        </w:rPr>
        <w:t xml:space="preserve">. </w:t>
      </w:r>
      <w:bookmarkStart w:id="61" w:name="Bookmark_I5N6YFV428T52S0020000400_2"/>
      <w:bookmarkEnd w:id="61"/>
      <w:bookmarkStart w:id="62" w:name="Bookmark_I5N6YFV428T52S0040000400"/>
      <w:bookmarkEnd w:id="62"/>
      <w:r>
        <w:rPr>
          <w:rFonts w:ascii="arial" w:eastAsia="arial" w:hAnsi="arial" w:cs="arial"/>
          <w:b w:val="0"/>
          <w:i w:val="0"/>
          <w:strike w:val="0"/>
          <w:noProof w:val="0"/>
          <w:color w:val="000000"/>
          <w:position w:val="0"/>
          <w:sz w:val="20"/>
          <w:u w:val="none"/>
          <w:vertAlign w:val="baseline"/>
        </w:rPr>
        <w:t xml:space="preserve">If the movant sustains its burden, the nonmovant must set forth facts demonstrating the existence of a genuine dispute. </w:t>
      </w:r>
      <w:r>
        <w:rPr>
          <w:rFonts w:ascii="arial" w:eastAsia="arial" w:hAnsi="arial" w:cs="arial"/>
          <w:b w:val="0"/>
          <w:i w:val="0"/>
          <w:strike w:val="0"/>
          <w:noProof w:val="0"/>
          <w:color w:val="000000"/>
          <w:position w:val="0"/>
          <w:sz w:val="20"/>
          <w:u w:val="single"/>
          <w:vertAlign w:val="baseline"/>
        </w:rPr>
        <w:t xml:space="preserve">See </w:t>
      </w:r>
      <w:bookmarkStart w:id="63" w:name="Bookmark_I5N6YFV428T52S0010000400"/>
      <w:bookmarkEnd w:id="63"/>
      <w:hyperlink r:id="rId27" w:history="1">
        <w:r>
          <w:rPr>
            <w:rFonts w:ascii="arial" w:eastAsia="arial" w:hAnsi="arial" w:cs="arial"/>
            <w:b w:val="0"/>
            <w:i/>
            <w:strike w:val="0"/>
            <w:noProof w:val="0"/>
            <w:color w:val="0077CC"/>
            <w:position w:val="0"/>
            <w:sz w:val="20"/>
            <w:u w:val="single"/>
            <w:vertAlign w:val="baseline"/>
          </w:rPr>
          <w:t>Anderson v. Liberty Lobby, Inc.</w:t>
        </w:r>
      </w:hyperlink>
      <w:hyperlink r:id="rId27" w:history="1">
        <w:r>
          <w:rPr>
            <w:rFonts w:ascii="arial" w:eastAsia="arial" w:hAnsi="arial" w:cs="arial"/>
            <w:b w:val="0"/>
            <w:i/>
            <w:strike w:val="0"/>
            <w:noProof w:val="0"/>
            <w:color w:val="0077CC"/>
            <w:position w:val="0"/>
            <w:sz w:val="20"/>
            <w:u w:val="single"/>
            <w:vertAlign w:val="baseline"/>
          </w:rPr>
          <w:t>, 477 U.S. 242, 255,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64" w:name="Bookmark_I5N6YFV428T52S0040000400_2"/>
      <w:bookmarkEnd w:id="64"/>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summary judgment opponent need not match, item for item, each piece of evidence proffered by the movant, but simply must exceed the mere scintilla standard." </w:t>
      </w:r>
      <w:bookmarkStart w:id="65" w:name="Bookmark_I5N6YFV428T52S0030000400"/>
      <w:bookmarkEnd w:id="65"/>
      <w:hyperlink r:id="rId28" w:history="1">
        <w:r>
          <w:rPr>
            <w:rFonts w:ascii="arial" w:eastAsia="arial" w:hAnsi="arial" w:cs="arial"/>
            <w:b w:val="0"/>
            <w:i/>
            <w:strike w:val="0"/>
            <w:noProof w:val="0"/>
            <w:color w:val="0077CC"/>
            <w:position w:val="0"/>
            <w:sz w:val="20"/>
            <w:u w:val="single"/>
            <w:vertAlign w:val="baseline"/>
          </w:rPr>
          <w:t xml:space="preserve">In re: Processed Egg Prod.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No. 08-MD-2002, 2016 U.S. Dist. LEXIS 133110, 2016 WL 5539592, at *5 (E.D. Pa. Sept. 28, 2016)</w:t>
        </w:r>
      </w:hyperlink>
      <w:r>
        <w:rPr>
          <w:rFonts w:ascii="arial" w:eastAsia="arial" w:hAnsi="arial" w:cs="arial"/>
          <w:b w:val="0"/>
          <w:i w:val="0"/>
          <w:strike w:val="0"/>
          <w:noProof w:val="0"/>
          <w:color w:val="000000"/>
          <w:position w:val="0"/>
          <w:sz w:val="20"/>
          <w:u w:val="none"/>
          <w:vertAlign w:val="baseline"/>
        </w:rPr>
        <w:t xml:space="preserve"> (alterations and quotations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72" w:name="Bookmark_para_13"/>
      <w:bookmarkEnd w:id="72"/>
      <w:bookmarkStart w:id="73" w:name="Bookmark_I5N6YFV42SF7YH0020000400"/>
      <w:bookmarkEnd w:id="73"/>
      <w:r>
        <w:rPr>
          <w:rFonts w:ascii="arial" w:eastAsia="arial" w:hAnsi="arial" w:cs="arial"/>
          <w:b w:val="0"/>
          <w:i w:val="0"/>
          <w:strike w:val="0"/>
          <w:noProof w:val="0"/>
          <w:color w:val="000000"/>
          <w:position w:val="0"/>
          <w:sz w:val="20"/>
          <w:u w:val="none"/>
          <w:vertAlign w:val="baseline"/>
        </w:rPr>
        <w:t xml:space="preserve">Plaintiffs contend that their claim against John Pia is that he "personally participated in and furthered the EMMC's conspiracy to fix prices and restrict the supply of mushrooms." Dkt. No. 612 at 2. </w:t>
      </w:r>
      <w:bookmarkStart w:id="74" w:name="Bookmark_I5N6YFV42SF7YH0040000400"/>
      <w:bookmarkEnd w:id="74"/>
      <w:r>
        <w:rPr>
          <w:rFonts w:ascii="arial" w:eastAsia="arial" w:hAnsi="arial" w:cs="arial"/>
          <w:b w:val="0"/>
          <w:i w:val="0"/>
          <w:strike w:val="0"/>
          <w:noProof w:val="0"/>
          <w:color w:val="000000"/>
          <w:position w:val="0"/>
          <w:sz w:val="20"/>
          <w:u w:val="none"/>
          <w:vertAlign w:val="baseline"/>
        </w:rPr>
        <w:t xml:space="preserve">They argue that "[c]orporate officers, directors and agents like Mr. Pia may be individually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violations if they personally participate in, ratify, or otherwise authorize anticompetitive activity." Dkt. No. 612 at 2. The Court of Appeals for the Third Circuit has not decided a case involving the appropriate standard for individual liability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So, in support of plaintiffs' argument that "individual corporate officers, such as Mr. Pia, may be held individually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where the officer 'participated in the unlawful acts, or where he acquiesced or ratified the actions of other officers or agents of the corporation which were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plaintiffs cite </w:t>
      </w:r>
      <w:bookmarkStart w:id="75" w:name="Bookmark_I5N6YFV42SF7YH0010000400"/>
      <w:bookmarkEnd w:id="75"/>
      <w:hyperlink r:id="rId29" w:history="1">
        <w:r>
          <w:rPr>
            <w:rFonts w:ascii="arial" w:eastAsia="arial" w:hAnsi="arial" w:cs="arial"/>
            <w:b w:val="0"/>
            <w:i/>
            <w:strike w:val="0"/>
            <w:noProof w:val="0"/>
            <w:color w:val="0077CC"/>
            <w:position w:val="0"/>
            <w:sz w:val="20"/>
            <w:u w:val="single"/>
            <w:vertAlign w:val="baseline"/>
          </w:rPr>
          <w:t>Higbie v. Kopy-Kat, Inc.</w:t>
        </w:r>
      </w:hyperlink>
      <w:hyperlink r:id="rId29" w:history="1">
        <w:r>
          <w:rPr>
            <w:rFonts w:ascii="arial" w:eastAsia="arial" w:hAnsi="arial" w:cs="arial"/>
            <w:b w:val="0"/>
            <w:i/>
            <w:strike w:val="0"/>
            <w:noProof w:val="0"/>
            <w:color w:val="0077CC"/>
            <w:position w:val="0"/>
            <w:sz w:val="20"/>
            <w:u w:val="single"/>
            <w:vertAlign w:val="baseline"/>
          </w:rPr>
          <w:t>, 391 F. Supp. 808, 810 (E.D. Pa. 1975)</w:t>
        </w:r>
      </w:hyperlink>
      <w:r>
        <w:rPr>
          <w:rFonts w:ascii="arial" w:eastAsia="arial" w:hAnsi="arial" w:cs="arial"/>
          <w:b w:val="0"/>
          <w:i w:val="0"/>
          <w:strike w:val="0"/>
          <w:noProof w:val="0"/>
          <w:color w:val="000000"/>
          <w:position w:val="0"/>
          <w:sz w:val="20"/>
          <w:u w:val="none"/>
          <w:vertAlign w:val="baseline"/>
        </w:rPr>
        <w:t xml:space="preserve">. </w:t>
      </w:r>
      <w:bookmarkStart w:id="76" w:name="Bookmark_I5N6YFV42SF7YH0040000400_2"/>
      <w:bookmarkEnd w:id="76"/>
      <w:r>
        <w:rPr>
          <w:rFonts w:ascii="arial" w:eastAsia="arial" w:hAnsi="arial" w:cs="arial"/>
          <w:b w:val="0"/>
          <w:i w:val="0"/>
          <w:strike w:val="0"/>
          <w:noProof w:val="0"/>
          <w:color w:val="000000"/>
          <w:position w:val="0"/>
          <w:sz w:val="20"/>
          <w:u w:val="none"/>
          <w:vertAlign w:val="baseline"/>
        </w:rPr>
        <w:t xml:space="preserve">Dkt. No. 650 at ECF p. 2, </w:t>
      </w:r>
      <w:r>
        <w:rPr>
          <w:rFonts w:ascii="arial" w:eastAsia="arial" w:hAnsi="arial" w:cs="arial"/>
          <w:b w:val="0"/>
          <w:i w:val="0"/>
          <w:strike w:val="0"/>
          <w:noProof w:val="0"/>
          <w:color w:val="000000"/>
          <w:position w:val="0"/>
          <w:sz w:val="20"/>
          <w:u w:val="single"/>
          <w:vertAlign w:val="baseline"/>
        </w:rPr>
        <w:t xml:space="preserve">quoting </w:t>
      </w:r>
      <w:bookmarkStart w:id="77" w:name="Bookmark_I5N6YFV42SF7YH0030000400"/>
      <w:bookmarkEnd w:id="77"/>
      <w:hyperlink r:id="rId29" w:history="1">
        <w:r>
          <w:rPr>
            <w:rFonts w:ascii="arial" w:eastAsia="arial" w:hAnsi="arial" w:cs="arial"/>
            <w:b w:val="0"/>
            <w:i/>
            <w:strike w:val="0"/>
            <w:noProof w:val="0"/>
            <w:color w:val="0077CC"/>
            <w:position w:val="0"/>
            <w:sz w:val="20"/>
            <w:u w:val="single"/>
            <w:vertAlign w:val="baseline"/>
          </w:rPr>
          <w:t>Higbie</w:t>
        </w:r>
      </w:hyperlink>
      <w:hyperlink r:id="rId29" w:history="1">
        <w:r>
          <w:rPr>
            <w:rFonts w:ascii="arial" w:eastAsia="arial" w:hAnsi="arial" w:cs="arial"/>
            <w:b w:val="0"/>
            <w:i/>
            <w:strike w:val="0"/>
            <w:noProof w:val="0"/>
            <w:color w:val="0077CC"/>
            <w:position w:val="0"/>
            <w:sz w:val="20"/>
            <w:u w:val="single"/>
            <w:vertAlign w:val="baseline"/>
          </w:rPr>
          <w:t>, 391 F. Supp. at 810</w:t>
        </w:r>
      </w:hyperlink>
      <w:r>
        <w:rPr>
          <w:rFonts w:ascii="arial" w:eastAsia="arial" w:hAnsi="arial" w:cs="arial"/>
          <w:b w:val="0"/>
          <w:i w:val="0"/>
          <w:strike w:val="0"/>
          <w:noProof w:val="0"/>
          <w:color w:val="000000"/>
          <w:position w:val="0"/>
          <w:sz w:val="20"/>
          <w:u w:val="none"/>
          <w:vertAlign w:val="baseline"/>
        </w:rPr>
        <w:t xml:space="preserve">. They also cite </w:t>
      </w:r>
      <w:r>
        <w:rPr>
          <w:rFonts w:ascii="arial" w:eastAsia="arial" w:hAnsi="arial" w:cs="arial"/>
          <w:b w:val="0"/>
          <w:i w:val="0"/>
          <w:strike w:val="0"/>
          <w:noProof w:val="0"/>
          <w:color w:val="000000"/>
          <w:position w:val="0"/>
          <w:sz w:val="20"/>
          <w:u w:val="single"/>
          <w:vertAlign w:val="baseline"/>
        </w:rPr>
        <w:t>Murray v. National Football League</w:t>
      </w:r>
      <w:r>
        <w:rPr>
          <w:rFonts w:ascii="arial" w:eastAsia="arial" w:hAnsi="arial" w:cs="arial"/>
          <w:b w:val="0"/>
          <w:i w:val="0"/>
          <w:strike w:val="0"/>
          <w:noProof w:val="0"/>
          <w:color w:val="000000"/>
          <w:position w:val="0"/>
          <w:sz w:val="20"/>
          <w:u w:val="none"/>
          <w:vertAlign w:val="baseline"/>
        </w:rPr>
        <w:t xml:space="preserve">, No. 94-5971, at *23 (E.D. Pa. June 28. 1996), where the court found that "the personal participation of [individual association members] in the adoption, ratification or enforcement of a policy on behalf of the [unincorporated association] subjects them to individual liability"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Dkt. No. 612 at 3. Plaintiffs argue that they are merely required to show "knowledge and participation in the allegedly anticompetitive conduct, not knowledge that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conduct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Dkt. No. 650 at ECF p. 3 n.1.</w:t>
      </w:r>
    </w:p>
    <w:p>
      <w:pPr>
        <w:keepNext w:val="0"/>
        <w:widowControl w:val="0"/>
        <w:spacing w:before="200" w:after="0" w:line="260" w:lineRule="atLeast"/>
        <w:ind w:left="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 xml:space="preserve">Certain defendants, however, argue that "[i]n order to hold an individual . . . liable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plaintiffs must show that Pia knowingly participated in actions he knew to be anti-competitive" and that because the evidence shows that Pia relied on counsel, who "blessed" the creation of the EMMC and its operations, summary judgment must be granted in his favor. Dkt. No. 615 at ECF p. 1-2 (citations omitted). Certain defendants concede that "this Court . . . has held . . . good faith [reliance on counsel] does not suffice to provide the protections of Capper Volstead Immunity to the members of the EMMC" but argue that "the evidence strongly supports Pia's entitlement to summary judgment from Plaintiffs'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ECF p. 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Dkt. No. 652 at ECF p. 1 (noting that "they understand that . . . this court rejected the concept that good faith reliance on counsel can be a defense against losing Capper Volstead immunity and that this Court has generally stated that </w:t>
      </w:r>
      <w:bookmarkStart w:id="79" w:name="Bookmark_LNHNREFclscc2"/>
      <w:bookmarkEnd w:id="79"/>
      <w:hyperlink r:id="rId3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4"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because specific intent is not required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advice of counsel is not a defense"). Pia argues that "what is at issue in [certain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defendants'] motion for summary judgment is whether the unrebutted evidence of his good faith reliance on counsel demonstrates he did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'knowingly participate' in actions which were to his understanding 'inherently unlawful conduct.'" Dkt. No. 652 at ECF p. 2 (emphasis in original);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Dkt. No. 615 at ECF p. 5 ("There is simply no evidence that Pia or any other individual associated with an EMMC member knowingly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believed the EMMC actions breached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He contends that his motion for summary judgment should be granted because he lacks the requisite knowledge to state a claim for individual liability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Dkt. No. 652 at ECF p. 4.</w:t>
      </w:r>
    </w:p>
    <w:p>
      <w:pPr>
        <w:keepNext w:val="0"/>
        <w:widowControl w:val="0"/>
        <w:spacing w:before="200" w:after="0" w:line="260" w:lineRule="atLeast"/>
        <w:ind w:left="0" w:right="0" w:firstLine="0"/>
        <w:jc w:val="both"/>
      </w:pPr>
      <w:bookmarkStart w:id="80" w:name="Bookmark_para_15"/>
      <w:bookmarkEnd w:id="80"/>
      <w:bookmarkStart w:id="81" w:name="Bookmark_I5N6YFV42D6NC20010000400"/>
      <w:bookmarkEnd w:id="81"/>
      <w:r>
        <w:rPr>
          <w:rFonts w:ascii="arial" w:eastAsia="arial" w:hAnsi="arial" w:cs="arial"/>
          <w:b w:val="0"/>
          <w:i w:val="0"/>
          <w:strike w:val="0"/>
          <w:noProof w:val="0"/>
          <w:color w:val="000000"/>
          <w:position w:val="0"/>
          <w:sz w:val="20"/>
          <w:u w:val="none"/>
          <w:vertAlign w:val="baseline"/>
        </w:rPr>
        <w:t xml:space="preserve">In support of the motion, certain defendants contend that the Court of Appeals for the Sixth Circuit set forth the appropriate test for holding individuals liable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 </w:t>
      </w:r>
      <w:bookmarkStart w:id="82" w:name="Bookmark_I5N6YFV42SF7YH0050000400"/>
      <w:bookmarkEnd w:id="82"/>
      <w:hyperlink r:id="rId31" w:history="1">
        <w:r>
          <w:rPr>
            <w:rFonts w:ascii="arial" w:eastAsia="arial" w:hAnsi="arial" w:cs="arial"/>
            <w:b w:val="0"/>
            <w:i/>
            <w:strike w:val="0"/>
            <w:noProof w:val="0"/>
            <w:color w:val="0077CC"/>
            <w:position w:val="0"/>
            <w:sz w:val="20"/>
            <w:u w:val="single"/>
            <w:vertAlign w:val="baseline"/>
          </w:rPr>
          <w:t>Brown v. Donco Enterprises</w:t>
        </w:r>
      </w:hyperlink>
      <w:hyperlink r:id="rId31" w:history="1">
        <w:r>
          <w:rPr>
            <w:rFonts w:ascii="arial" w:eastAsia="arial" w:hAnsi="arial" w:cs="arial"/>
            <w:b w:val="0"/>
            <w:i/>
            <w:strike w:val="0"/>
            <w:noProof w:val="0"/>
            <w:color w:val="0077CC"/>
            <w:position w:val="0"/>
            <w:sz w:val="20"/>
            <w:u w:val="single"/>
            <w:vertAlign w:val="baseline"/>
          </w:rPr>
          <w:t>, 783 F.2d 644 (6th Cir. 1986)</w:t>
        </w:r>
      </w:hyperlink>
      <w:r>
        <w:rPr>
          <w:rFonts w:ascii="arial" w:eastAsia="arial" w:hAnsi="arial" w:cs="arial"/>
          <w:b w:val="0"/>
          <w:i w:val="0"/>
          <w:strike w:val="0"/>
          <w:noProof w:val="0"/>
          <w:color w:val="000000"/>
          <w:position w:val="0"/>
          <w:sz w:val="20"/>
          <w:u w:val="none"/>
          <w:vertAlign w:val="baseline"/>
        </w:rPr>
        <w:t xml:space="preserve">. Dkt. No. 615 at ECF p. 2. </w:t>
      </w:r>
      <w:bookmarkStart w:id="83" w:name="Bookmark_I5N6YFV42D6NC20030000400"/>
      <w:bookmarkEnd w:id="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Brown</w:t>
      </w:r>
      <w:r>
        <w:rPr>
          <w:rFonts w:ascii="arial" w:eastAsia="arial" w:hAnsi="arial" w:cs="arial"/>
          <w:b w:val="0"/>
          <w:i w:val="0"/>
          <w:strike w:val="0"/>
          <w:noProof w:val="0"/>
          <w:color w:val="000000"/>
          <w:position w:val="0"/>
          <w:sz w:val="20"/>
          <w:u w:val="none"/>
          <w:vertAlign w:val="baseline"/>
        </w:rPr>
        <w:t>, the Sixth Circuit concluded that</w:t>
      </w:r>
    </w:p>
    <w:p>
      <w:pPr>
        <w:keepNext w:val="0"/>
        <w:widowControl w:val="0"/>
        <w:spacing w:before="200" w:after="0" w:line="260" w:lineRule="atLeast"/>
        <w:ind w:left="400" w:right="0" w:firstLine="0"/>
        <w:jc w:val="both"/>
      </w:pPr>
      <w:bookmarkStart w:id="84" w:name="Bookmark_para_16"/>
      <w:bookmarkEnd w:id="84"/>
      <w:bookmarkStart w:id="85" w:name="Bookmark_I5N6YFV42D6NC20030000400_2"/>
      <w:bookmarkEnd w:id="85"/>
      <w:bookmarkStart w:id="86" w:name="Bookmark_I5N6YFV42D6NC20050000400"/>
      <w:bookmarkEnd w:id="86"/>
      <w:r>
        <w:rPr>
          <w:rFonts w:ascii="arial" w:eastAsia="arial" w:hAnsi="arial" w:cs="arial"/>
          <w:b w:val="0"/>
          <w:i w:val="0"/>
          <w:strike w:val="0"/>
          <w:noProof w:val="0"/>
          <w:color w:val="000000"/>
          <w:position w:val="0"/>
          <w:sz w:val="20"/>
          <w:u w:val="none"/>
          <w:vertAlign w:val="baseline"/>
        </w:rPr>
        <w:t xml:space="preserve">[i]ndividual liability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can be imposed only where corporate agents are actively and knowingly engaged in a scheme designed to achieve anticompetitive ends. To support a determination of liability under this standard, the evidence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must demonstrate that a defendant exerted his influence so as to shape corporate intentions.</w:t>
      </w:r>
    </w:p>
    <w:p>
      <w:pPr>
        <w:keepNext w:val="0"/>
        <w:widowControl w:val="0"/>
        <w:spacing w:before="200" w:after="0" w:line="260" w:lineRule="atLeast"/>
        <w:ind w:left="0" w:right="0" w:firstLine="0"/>
        <w:jc w:val="both"/>
      </w:pPr>
      <w:bookmarkStart w:id="87" w:name="Bookmark_I5N6YFV42D6NC20050000400_2"/>
      <w:bookmarkEnd w:id="87"/>
      <w:bookmarkStart w:id="88" w:name="Bookmark_I5N6YFV42D6NC20030000400_3"/>
      <w:bookmarkEnd w:id="88"/>
      <w:bookmarkStart w:id="89" w:name="Bookmark_I5N6YFV42D6NC20020000400"/>
      <w:bookmarkEnd w:id="89"/>
      <w:hyperlink r:id="rId31" w:history="1">
        <w:r>
          <w:rPr>
            <w:rFonts w:ascii="arial" w:eastAsia="arial" w:hAnsi="arial" w:cs="arial"/>
            <w:b w:val="0"/>
            <w:i/>
            <w:strike w:val="0"/>
            <w:color w:val="0077CC"/>
            <w:sz w:val="20"/>
            <w:u w:val="single"/>
            <w:vertAlign w:val="baseline"/>
          </w:rPr>
          <w:t>Brown</w:t>
        </w:r>
      </w:hyperlink>
      <w:hyperlink r:id="rId31" w:history="1">
        <w:r>
          <w:rPr>
            <w:rFonts w:ascii="arial" w:eastAsia="arial" w:hAnsi="arial" w:cs="arial"/>
            <w:b w:val="0"/>
            <w:i/>
            <w:strike w:val="0"/>
            <w:color w:val="0077CC"/>
            <w:sz w:val="20"/>
            <w:u w:val="single"/>
            <w:vertAlign w:val="baseline"/>
          </w:rPr>
          <w:t>, 783 F.2d at 646</w:t>
        </w:r>
      </w:hyperlink>
      <w:r>
        <w:rPr>
          <w:rFonts w:ascii="arial" w:eastAsia="arial" w:hAnsi="arial" w:cs="arial"/>
          <w:b w:val="0"/>
          <w:i w:val="0"/>
          <w:strike w:val="0"/>
          <w:noProof w:val="0"/>
          <w:color w:val="000000"/>
          <w:position w:val="0"/>
          <w:sz w:val="20"/>
          <w:u w:val="none"/>
          <w:vertAlign w:val="baseline"/>
        </w:rPr>
        <w:t xml:space="preserve">. Defendants also cite </w:t>
      </w:r>
      <w:bookmarkStart w:id="90" w:name="Bookmark_I5N6YFV42D6NC20040000400"/>
      <w:bookmarkEnd w:id="90"/>
      <w:hyperlink r:id="rId32" w:history="1">
        <w:r>
          <w:rPr>
            <w:rFonts w:ascii="arial" w:eastAsia="arial" w:hAnsi="arial" w:cs="arial"/>
            <w:b w:val="0"/>
            <w:i/>
            <w:strike w:val="0"/>
            <w:noProof w:val="0"/>
            <w:color w:val="0077CC"/>
            <w:position w:val="0"/>
            <w:sz w:val="20"/>
            <w:u w:val="single"/>
            <w:vertAlign w:val="baseline"/>
          </w:rPr>
          <w:t>Murphy Tugboat Co. v. Shipowners &amp; Merchants Towboat, Co.</w:t>
        </w:r>
      </w:hyperlink>
      <w:hyperlink r:id="rId32" w:history="1">
        <w:r>
          <w:rPr>
            <w:rFonts w:ascii="arial" w:eastAsia="arial" w:hAnsi="arial" w:cs="arial"/>
            <w:b w:val="0"/>
            <w:i/>
            <w:strike w:val="0"/>
            <w:noProof w:val="0"/>
            <w:color w:val="0077CC"/>
            <w:position w:val="0"/>
            <w:sz w:val="20"/>
            <w:u w:val="single"/>
            <w:vertAlign w:val="baseline"/>
          </w:rPr>
          <w:t>, 467 F. Supp. 841, 853 (N.D. Ca. 1979)</w:t>
        </w:r>
      </w:hyperlink>
      <w:r>
        <w:rPr>
          <w:rFonts w:ascii="arial" w:eastAsia="arial" w:hAnsi="arial" w:cs="arial"/>
          <w:b w:val="0"/>
          <w:i w:val="0"/>
          <w:strike w:val="0"/>
          <w:noProof w:val="0"/>
          <w:color w:val="000000"/>
          <w:position w:val="0"/>
          <w:sz w:val="20"/>
          <w:u w:val="none"/>
          <w:vertAlign w:val="baseline"/>
        </w:rPr>
        <w:t xml:space="preserve">, which they contend stands for the proposition that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is limited to "cases of inherently unlawful conduct . . . ." Dkt. No. 615 at 3. Defendants argue that under </w:t>
      </w:r>
      <w:r>
        <w:rPr>
          <w:rFonts w:ascii="arial" w:eastAsia="arial" w:hAnsi="arial" w:cs="arial"/>
          <w:b w:val="0"/>
          <w:i w:val="0"/>
          <w:strike w:val="0"/>
          <w:noProof w:val="0"/>
          <w:color w:val="000000"/>
          <w:position w:val="0"/>
          <w:sz w:val="20"/>
          <w:u w:val="single"/>
          <w:vertAlign w:val="baseline"/>
        </w:rPr>
        <w:t>Murphy</w:t>
      </w:r>
      <w:r>
        <w:rPr>
          <w:rFonts w:ascii="arial" w:eastAsia="arial" w:hAnsi="arial" w:cs="arial"/>
          <w:b w:val="0"/>
          <w:i w:val="0"/>
          <w:strike w:val="0"/>
          <w:noProof w:val="0"/>
          <w:color w:val="000000"/>
          <w:position w:val="0"/>
          <w:sz w:val="20"/>
          <w:u w:val="none"/>
          <w:vertAlign w:val="baseline"/>
        </w:rPr>
        <w:t xml:space="preserve">, individuals may only be liable for conduct that is "per se unlawful," although they concede that the Court of Appeals for the Third Circuit has not ruled on this question.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1" w:name="Bookmark_para_17"/>
      <w:bookmarkEnd w:id="91"/>
      <w:bookmarkStart w:id="92" w:name="Bookmark_I5N6YFV428T52T0020000400"/>
      <w:bookmarkEnd w:id="92"/>
      <w:r>
        <w:rPr>
          <w:rFonts w:ascii="arial" w:eastAsia="arial" w:hAnsi="arial" w:cs="arial"/>
          <w:b w:val="0"/>
          <w:i w:val="0"/>
          <w:strike w:val="0"/>
          <w:noProof w:val="0"/>
          <w:color w:val="000000"/>
          <w:position w:val="0"/>
          <w:sz w:val="20"/>
          <w:u w:val="none"/>
          <w:vertAlign w:val="baseline"/>
        </w:rPr>
        <w:t xml:space="preserve">Plaintiffs respond that that none of the cases cited by certain defendants support Pia's "claim that Plaintiffs must prove that he specifically knew that the conduct in which he participated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Dkt. No. 650 at ECF p. 2. </w:t>
      </w:r>
      <w:bookmarkStart w:id="93" w:name="Bookmark_I4SSDH3KBST000YT64R00001"/>
      <w:bookmarkEnd w:id="93"/>
      <w:bookmarkStart w:id="94" w:name="Bookmark_I5N6YFV428T52T0040000400"/>
      <w:bookmarkEnd w:id="94"/>
      <w:r>
        <w:rPr>
          <w:rFonts w:ascii="arial" w:eastAsia="arial" w:hAnsi="arial" w:cs="arial"/>
          <w:b w:val="0"/>
          <w:i w:val="0"/>
          <w:strike w:val="0"/>
          <w:noProof w:val="0"/>
          <w:color w:val="000000"/>
          <w:position w:val="0"/>
          <w:sz w:val="20"/>
          <w:u w:val="none"/>
          <w:vertAlign w:val="baseline"/>
        </w:rPr>
        <w:t xml:space="preserve">I agree. </w:t>
      </w:r>
      <w:bookmarkStart w:id="95" w:name="Bookmark_I5N6YFV42HM6DW0010000400"/>
      <w:bookmarkEnd w:id="95"/>
      <w:r>
        <w:rPr>
          <w:rFonts w:ascii="arial" w:eastAsia="arial" w:hAnsi="arial" w:cs="arial"/>
          <w:b w:val="0"/>
          <w:i w:val="0"/>
          <w:strike w:val="0"/>
          <w:noProof w:val="0"/>
          <w:color w:val="000000"/>
          <w:position w:val="0"/>
          <w:sz w:val="20"/>
          <w:u w:val="none"/>
          <w:vertAlign w:val="baseline"/>
        </w:rPr>
        <w:t xml:space="preserve">To withstand defendants' motion plaintiffs do not have to show that Pia knew the EMMC's alleged efforts to fix mushroom distribution prices or to control supply were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I have previously explained, </w:t>
      </w:r>
      <w:bookmarkStart w:id="96" w:name="Bookmark_LNHNREFclscc3"/>
      <w:bookmarkEnd w:id="96"/>
      <w:hyperlink r:id="rId3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5"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require proof of specific intent . . ." </w:t>
      </w:r>
      <w:bookmarkStart w:id="97" w:name="Bookmark_I5N6YFV428T52T0010000400"/>
      <w:bookmarkEnd w:id="97"/>
      <w:hyperlink r:id="rId21" w:history="1">
        <w:r>
          <w:rPr>
            <w:rFonts w:ascii="arial" w:eastAsia="arial" w:hAnsi="arial" w:cs="arial"/>
            <w:b w:val="0"/>
            <w:i/>
            <w:strike w:val="0"/>
            <w:noProof w:val="0"/>
            <w:color w:val="0077CC"/>
            <w:position w:val="0"/>
            <w:sz w:val="20"/>
            <w:u w:val="single"/>
            <w:vertAlign w:val="baseline"/>
          </w:rPr>
          <w:t>In re Mushroom</w:t>
        </w:r>
      </w:hyperlink>
      <w:hyperlink r:id="rId21" w:history="1">
        <w:r>
          <w:rPr>
            <w:rFonts w:ascii="arial" w:eastAsia="arial" w:hAnsi="arial" w:cs="arial"/>
            <w:b w:val="0"/>
            <w:i/>
            <w:strike w:val="0"/>
            <w:noProof w:val="0"/>
            <w:color w:val="0077CC"/>
            <w:position w:val="0"/>
            <w:sz w:val="20"/>
            <w:u w:val="single"/>
            <w:vertAlign w:val="baseline"/>
          </w:rPr>
          <w:t>, 54 F. Supp. 3d 382, 392 (E.D. Pa. 2014)</w:t>
        </w:r>
      </w:hyperlink>
      <w:r>
        <w:rPr>
          <w:rFonts w:ascii="arial" w:eastAsia="arial" w:hAnsi="arial" w:cs="arial"/>
          <w:b w:val="0"/>
          <w:i w:val="0"/>
          <w:strike w:val="0"/>
          <w:noProof w:val="0"/>
          <w:color w:val="000000"/>
          <w:position w:val="0"/>
          <w:sz w:val="20"/>
          <w:u w:val="none"/>
          <w:vertAlign w:val="baseline"/>
        </w:rPr>
        <w:t xml:space="preserve">. </w:t>
      </w:r>
      <w:bookmarkStart w:id="98" w:name="Bookmark_I5N6YFV42HM6DW0010000400_2"/>
      <w:bookmarkEnd w:id="98"/>
      <w:bookmarkStart w:id="99" w:name="Bookmark_I5N6YFV428T52T0040000400_2"/>
      <w:bookmarkEnd w:id="99"/>
      <w:bookmarkStart w:id="100" w:name="Bookmark_I4SSDH3MK73000YT64R00009"/>
      <w:bookmarkEnd w:id="100"/>
      <w:bookmarkStart w:id="101" w:name="Bookmark_I5N6YFV42HM6DW0030000400"/>
      <w:bookmarkEnd w:id="101"/>
      <w:r>
        <w:rPr>
          <w:rFonts w:ascii="arial" w:eastAsia="arial" w:hAnsi="arial" w:cs="arial"/>
          <w:b w:val="0"/>
          <w:i w:val="0"/>
          <w:strike w:val="0"/>
          <w:noProof w:val="0"/>
          <w:color w:val="000000"/>
          <w:position w:val="0"/>
          <w:sz w:val="20"/>
          <w:u w:val="none"/>
          <w:vertAlign w:val="baseline"/>
        </w:rPr>
        <w:t xml:space="preserve">While "a defendant's state of mind or intent is an element of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offense" the "general rule" is that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offense can be "established by proof of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an unlawful purpose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an anticompetitive effect." </w:t>
      </w:r>
      <w:bookmarkStart w:id="102" w:name="Bookmark_I5N6YFV428T52T0030000400"/>
      <w:bookmarkEnd w:id="102"/>
      <w:hyperlink r:id="rId34" w:history="1">
        <w:r>
          <w:rPr>
            <w:rFonts w:ascii="arial" w:eastAsia="arial" w:hAnsi="arial" w:cs="arial"/>
            <w:b w:val="0"/>
            <w:i/>
            <w:strike w:val="0"/>
            <w:noProof w:val="0"/>
            <w:color w:val="0077CC"/>
            <w:position w:val="0"/>
            <w:sz w:val="20"/>
            <w:u w:val="single"/>
            <w:vertAlign w:val="baseline"/>
          </w:rPr>
          <w:t>United States v. United States Gypsum Co.</w:t>
        </w:r>
      </w:hyperlink>
      <w:hyperlink r:id="rId34" w:history="1">
        <w:r>
          <w:rPr>
            <w:rFonts w:ascii="arial" w:eastAsia="arial" w:hAnsi="arial" w:cs="arial"/>
            <w:b w:val="0"/>
            <w:i/>
            <w:strike w:val="0"/>
            <w:noProof w:val="0"/>
            <w:color w:val="0077CC"/>
            <w:position w:val="0"/>
            <w:sz w:val="20"/>
            <w:u w:val="single"/>
            <w:vertAlign w:val="baseline"/>
          </w:rPr>
          <w:t>, 438 U.S. 422, 436, 98 S. Ct. 2864, 57 L. Ed. 2d 854 n.13 (1978)</w:t>
        </w:r>
      </w:hyperlink>
      <w:r>
        <w:rPr>
          <w:rFonts w:ascii="arial" w:eastAsia="arial" w:hAnsi="arial" w:cs="arial"/>
          <w:b w:val="0"/>
          <w:i w:val="0"/>
          <w:strike w:val="0"/>
          <w:noProof w:val="0"/>
          <w:color w:val="000000"/>
          <w:position w:val="0"/>
          <w:sz w:val="20"/>
          <w:u w:val="none"/>
          <w:vertAlign w:val="baseline"/>
        </w:rPr>
        <w:t xml:space="preserve"> (emphasis added). </w:t>
      </w:r>
      <w:bookmarkStart w:id="103" w:name="Bookmark_I5N6YFV42HM6DW0030000400_2"/>
      <w:bookmarkEnd w:id="103"/>
      <w:r>
        <w:rPr>
          <w:rFonts w:ascii="arial" w:eastAsia="arial" w:hAnsi="arial" w:cs="arial"/>
          <w:b w:val="0"/>
          <w:i w:val="0"/>
          <w:strike w:val="0"/>
          <w:noProof w:val="0"/>
          <w:color w:val="000000"/>
          <w:position w:val="0"/>
          <w:sz w:val="20"/>
          <w:u w:val="none"/>
          <w:vertAlign w:val="baseline"/>
        </w:rPr>
        <w:t xml:space="preserve">Indeed, as plaintiffs note, Dkt. No. 650 at ECF p. 3, in </w:t>
      </w:r>
      <w:r>
        <w:rPr>
          <w:rFonts w:ascii="arial" w:eastAsia="arial" w:hAnsi="arial" w:cs="arial"/>
          <w:b w:val="0"/>
          <w:i w:val="0"/>
          <w:strike w:val="0"/>
          <w:noProof w:val="0"/>
          <w:color w:val="000000"/>
          <w:position w:val="0"/>
          <w:sz w:val="20"/>
          <w:u w:val="single"/>
          <w:vertAlign w:val="baseline"/>
        </w:rPr>
        <w:t>Murphy</w:t>
      </w:r>
      <w:r>
        <w:rPr>
          <w:rFonts w:ascii="arial" w:eastAsia="arial" w:hAnsi="arial" w:cs="arial"/>
          <w:b w:val="0"/>
          <w:i w:val="0"/>
          <w:strike w:val="0"/>
          <w:noProof w:val="0"/>
          <w:color w:val="000000"/>
          <w:position w:val="0"/>
          <w:sz w:val="20"/>
          <w:u w:val="none"/>
          <w:vertAlign w:val="baseline"/>
        </w:rPr>
        <w:t xml:space="preserve">, the court cautioned that its statement that it was "appropriate to limit personal liability to cases of participation in inherently wrongful conduct," was "not intended to suggest that proof of unlawful intent is necessary to impose civil liability on officers." </w:t>
      </w:r>
      <w:bookmarkStart w:id="104" w:name="Bookmark_I5N6YFV428T52T0050000400"/>
      <w:bookmarkEnd w:id="104"/>
      <w:hyperlink r:id="rId32" w:history="1">
        <w:r>
          <w:rPr>
            <w:rFonts w:ascii="arial" w:eastAsia="arial" w:hAnsi="arial" w:cs="arial"/>
            <w:b w:val="0"/>
            <w:i/>
            <w:strike w:val="0"/>
            <w:noProof w:val="0"/>
            <w:color w:val="0077CC"/>
            <w:position w:val="0"/>
            <w:sz w:val="20"/>
            <w:u w:val="single"/>
            <w:vertAlign w:val="baseline"/>
          </w:rPr>
          <w:t>467 F. Supp. at 853 n.7</w:t>
        </w:r>
      </w:hyperlink>
      <w:r>
        <w:rPr>
          <w:rFonts w:ascii="arial" w:eastAsia="arial" w:hAnsi="arial" w:cs="arial"/>
          <w:b w:val="0"/>
          <w:i w:val="0"/>
          <w:strike w:val="0"/>
          <w:noProof w:val="0"/>
          <w:color w:val="000000"/>
          <w:position w:val="0"/>
          <w:sz w:val="20"/>
          <w:u w:val="none"/>
          <w:vertAlign w:val="baseline"/>
        </w:rPr>
        <w:t xml:space="preserve">. </w:t>
      </w:r>
      <w:bookmarkStart w:id="105" w:name="Bookmark_I5N6YFV42HM6DW0030000400_3"/>
      <w:bookmarkEnd w:id="105"/>
      <w:r>
        <w:rPr>
          <w:rFonts w:ascii="arial" w:eastAsia="arial" w:hAnsi="arial" w:cs="arial"/>
          <w:b w:val="0"/>
          <w:i w:val="0"/>
          <w:strike w:val="0"/>
          <w:noProof w:val="0"/>
          <w:color w:val="000000"/>
          <w:position w:val="0"/>
          <w:sz w:val="20"/>
          <w:u w:val="none"/>
          <w:vertAlign w:val="baseline"/>
        </w:rPr>
        <w:t xml:space="preserve">The court noted that "there is no warrant in the authorities" it cited "to impose a requirement which would in effect equate the standard of proof for civil and criminal liability."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 am not persuaded that </w:t>
      </w:r>
      <w:bookmarkStart w:id="106" w:name="Bookmark_I5N6YFV42HM6DW0030000400_4"/>
      <w:bookmarkEnd w:id="106"/>
      <w:bookmarkStart w:id="107" w:name="Bookmark_I5N6YFV42HM6DW0020000400"/>
      <w:bookmarkEnd w:id="107"/>
      <w:hyperlink r:id="rId32" w:history="1">
        <w:r>
          <w:rPr>
            <w:rFonts w:ascii="arial" w:eastAsia="arial" w:hAnsi="arial" w:cs="arial"/>
            <w:b w:val="0"/>
            <w:i/>
            <w:strike w:val="0"/>
            <w:noProof w:val="0"/>
            <w:color w:val="0077CC"/>
            <w:position w:val="0"/>
            <w:sz w:val="20"/>
            <w:u w:val="single"/>
            <w:vertAlign w:val="baseline"/>
          </w:rPr>
          <w:t>Murphy Tugboat</w:t>
        </w:r>
      </w:hyperlink>
      <w:r>
        <w:rPr>
          <w:rFonts w:ascii="arial" w:eastAsia="arial" w:hAnsi="arial" w:cs="arial"/>
          <w:b w:val="0"/>
          <w:i w:val="0"/>
          <w:strike w:val="0"/>
          <w:noProof w:val="0"/>
          <w:color w:val="000000"/>
          <w:position w:val="0"/>
          <w:sz w:val="20"/>
          <w:u w:val="none"/>
          <w:vertAlign w:val="baseline"/>
        </w:rPr>
        <w:t xml:space="preserve"> requires me to find in Pia's favor.</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09" w:name="Bookmark_para_18"/>
      <w:bookmarkEnd w:id="109"/>
      <w:bookmarkStart w:id="110" w:name="Bookmark_I4SSDH3KS87000YT64R00003"/>
      <w:bookmarkEnd w:id="110"/>
      <w:bookmarkStart w:id="111" w:name="Bookmark_I4SSDH3NGRC000YT64R0000F"/>
      <w:bookmarkEnd w:id="111"/>
      <w:bookmarkStart w:id="112" w:name="Bookmark_I5N6YFV42HM6DW0050000400"/>
      <w:bookmarkEnd w:id="112"/>
      <w:bookmarkStart w:id="113" w:name="Bookmark_I4SSDH3M9JT000YT64R00007"/>
      <w:bookmarkEnd w:id="113"/>
      <w:bookmarkStart w:id="114" w:name="Bookmark_I5N6YFV42N1R190030000400"/>
      <w:bookmarkEnd w:id="114"/>
      <w:bookmarkStart w:id="115" w:name="Bookmark_I4SSDH3MFCY000YT64R00008"/>
      <w:bookmarkEnd w:id="115"/>
      <w:bookmarkStart w:id="116" w:name="Bookmark_I5N6YFV42N1R190050000400"/>
      <w:bookmarkEnd w:id="116"/>
      <w:r>
        <w:rPr>
          <w:rFonts w:ascii="arial" w:eastAsia="arial" w:hAnsi="arial" w:cs="arial"/>
          <w:b w:val="0"/>
          <w:i w:val="0"/>
          <w:strike w:val="0"/>
          <w:noProof w:val="0"/>
          <w:color w:val="000000"/>
          <w:position w:val="0"/>
          <w:sz w:val="20"/>
          <w:u w:val="none"/>
          <w:vertAlign w:val="baseline"/>
        </w:rPr>
        <w:t xml:space="preserve">Nor do I find that the Sixth Circuit's decision in </w:t>
      </w:r>
      <w:r>
        <w:rPr>
          <w:rFonts w:ascii="arial" w:eastAsia="arial" w:hAnsi="arial" w:cs="arial"/>
          <w:b w:val="0"/>
          <w:i w:val="0"/>
          <w:strike w:val="0"/>
          <w:noProof w:val="0"/>
          <w:color w:val="000000"/>
          <w:position w:val="0"/>
          <w:sz w:val="20"/>
          <w:u w:val="single"/>
          <w:vertAlign w:val="baseline"/>
        </w:rPr>
        <w:t>Brown</w:t>
      </w:r>
      <w:r>
        <w:rPr>
          <w:rFonts w:ascii="arial" w:eastAsia="arial" w:hAnsi="arial" w:cs="arial"/>
          <w:b w:val="0"/>
          <w:i w:val="0"/>
          <w:strike w:val="0"/>
          <w:noProof w:val="0"/>
          <w:color w:val="000000"/>
          <w:position w:val="0"/>
          <w:sz w:val="20"/>
          <w:u w:val="none"/>
          <w:vertAlign w:val="baseline"/>
        </w:rPr>
        <w:t xml:space="preserve"> requires me to grant summary judgment in Pia's favor. Even if the standard set forth in </w:t>
      </w:r>
      <w:r>
        <w:rPr>
          <w:rFonts w:ascii="arial" w:eastAsia="arial" w:hAnsi="arial" w:cs="arial"/>
          <w:b w:val="0"/>
          <w:i w:val="0"/>
          <w:strike w:val="0"/>
          <w:noProof w:val="0"/>
          <w:color w:val="000000"/>
          <w:position w:val="0"/>
          <w:sz w:val="20"/>
          <w:u w:val="single"/>
          <w:vertAlign w:val="baseline"/>
        </w:rPr>
        <w:t>Brown</w:t>
      </w:r>
      <w:r>
        <w:rPr>
          <w:rFonts w:ascii="arial" w:eastAsia="arial" w:hAnsi="arial" w:cs="arial"/>
          <w:b w:val="0"/>
          <w:i w:val="0"/>
          <w:strike w:val="0"/>
          <w:noProof w:val="0"/>
          <w:color w:val="000000"/>
          <w:position w:val="0"/>
          <w:sz w:val="20"/>
          <w:u w:val="none"/>
          <w:vertAlign w:val="baseline"/>
        </w:rPr>
        <w:t xml:space="preserve"> applies, and "the evidence must demonstrate that Pia exerted his influence so as to shape corporate intentions," </w:t>
      </w:r>
      <w:bookmarkStart w:id="117" w:name="Bookmark_I5N6YFV42HM6DW0040000400"/>
      <w:bookmarkEnd w:id="117"/>
      <w:hyperlink r:id="rId31" w:history="1">
        <w:r>
          <w:rPr>
            <w:rFonts w:ascii="arial" w:eastAsia="arial" w:hAnsi="arial" w:cs="arial"/>
            <w:b w:val="0"/>
            <w:i/>
            <w:strike w:val="0"/>
            <w:noProof w:val="0"/>
            <w:color w:val="0077CC"/>
            <w:position w:val="0"/>
            <w:sz w:val="20"/>
            <w:u w:val="single"/>
            <w:vertAlign w:val="baseline"/>
          </w:rPr>
          <w:t>783 F.2d at 646</w:t>
        </w:r>
      </w:hyperlink>
      <w:r>
        <w:rPr>
          <w:rFonts w:ascii="arial" w:eastAsia="arial" w:hAnsi="arial" w:cs="arial"/>
          <w:b w:val="0"/>
          <w:i w:val="0"/>
          <w:strike w:val="0"/>
          <w:noProof w:val="0"/>
          <w:color w:val="000000"/>
          <w:position w:val="0"/>
          <w:sz w:val="20"/>
          <w:u w:val="none"/>
          <w:vertAlign w:val="baseline"/>
        </w:rPr>
        <w:t xml:space="preserve">, a higher standard than is set forth in either </w:t>
      </w:r>
      <w:bookmarkStart w:id="118" w:name="Bookmark_I5N6YFV42D6NC30010000400"/>
      <w:bookmarkEnd w:id="118"/>
      <w:hyperlink r:id="rId29" w:history="1">
        <w:r>
          <w:rPr>
            <w:rFonts w:ascii="arial" w:eastAsia="arial" w:hAnsi="arial" w:cs="arial"/>
            <w:b w:val="0"/>
            <w:i/>
            <w:strike w:val="0"/>
            <w:noProof w:val="0"/>
            <w:color w:val="0077CC"/>
            <w:position w:val="0"/>
            <w:sz w:val="20"/>
            <w:u w:val="single"/>
            <w:vertAlign w:val="baseline"/>
          </w:rPr>
          <w:t>Higbie</w:t>
        </w:r>
      </w:hyperlink>
      <w:bookmarkStart w:id="119" w:name="Bookmark_I4SSDH3KX3C000YT64R00004"/>
      <w:bookmarkEnd w:id="119"/>
      <w:bookmarkStart w:id="120" w:name="Bookmark_I5N6YFV42D6NC30040000400"/>
      <w:bookmarkEnd w:id="120"/>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Murray</w:t>
      </w:r>
      <w:r>
        <w:rPr>
          <w:rFonts w:ascii="arial" w:eastAsia="arial" w:hAnsi="arial" w:cs="arial"/>
          <w:b w:val="0"/>
          <w:i w:val="0"/>
          <w:strike w:val="0"/>
          <w:noProof w:val="0"/>
          <w:color w:val="000000"/>
          <w:position w:val="0"/>
          <w:sz w:val="20"/>
          <w:u w:val="none"/>
          <w:vertAlign w:val="baseline"/>
        </w:rPr>
        <w:t xml:space="preserve"> (decisions that require evidence only of knowledge and participation),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it still would not matter that Pia believed that the EMMC's efforts were protected by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Capper-Volstead. </w:t>
      </w:r>
      <w:bookmarkStart w:id="124" w:name="Bookmark_I5N6YFV42D6NC30040000400_2"/>
      <w:bookmarkEnd w:id="124"/>
      <w:r>
        <w:rPr>
          <w:rFonts w:ascii="arial" w:eastAsia="arial" w:hAnsi="arial" w:cs="arial"/>
          <w:b w:val="0"/>
          <w:i w:val="0"/>
          <w:strike w:val="0"/>
          <w:noProof w:val="0"/>
          <w:color w:val="000000"/>
          <w:position w:val="0"/>
          <w:sz w:val="20"/>
          <w:u w:val="none"/>
          <w:vertAlign w:val="baseline"/>
        </w:rPr>
        <w:t xml:space="preserve">To prevail under Brown, plaintiffs need only show that there is a material question of fact with respect to the issues of whether Pia was "actively and knowingly engaged in a scheme designed to achieve anticompetitive ends" and whether he exerted his influence to shape the EMMC's intentions. </w:t>
      </w:r>
      <w:bookmarkStart w:id="125" w:name="Bookmark_I5N6YFV42D6NC30030000400"/>
      <w:bookmarkEnd w:id="125"/>
      <w:hyperlink r:id="rId31" w:history="1">
        <w:r>
          <w:rPr>
            <w:rFonts w:ascii="arial" w:eastAsia="arial" w:hAnsi="arial" w:cs="arial"/>
            <w:b w:val="0"/>
            <w:i/>
            <w:strike w:val="0"/>
            <w:noProof w:val="0"/>
            <w:color w:val="0077CC"/>
            <w:position w:val="0"/>
            <w:sz w:val="20"/>
            <w:u w:val="single"/>
            <w:vertAlign w:val="baseline"/>
          </w:rPr>
          <w:t>Brown, 783 F.2d at 646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 the evidence set forth above, I find that such questions remain. The testimony of Pia and Thomas regarding the communication of EMMC-mandated prices to mushroom distributors raises questions as to whether Pia was actively and knowingly involved in the EMMC's efforts to fix mushroom distribution prices. </w:t>
      </w:r>
      <w:bookmarkStart w:id="126" w:name="Bookmark_I4SSDH3M5RN000YT64R00006"/>
      <w:bookmarkEnd w:id="126"/>
      <w:bookmarkStart w:id="127" w:name="Bookmark_I5N6YFV42N1R190010000400"/>
      <w:bookmarkEnd w:id="127"/>
      <w:r>
        <w:rPr>
          <w:rFonts w:ascii="arial" w:eastAsia="arial" w:hAnsi="arial" w:cs="arial"/>
          <w:b w:val="0"/>
          <w:i w:val="0"/>
          <w:strike w:val="0"/>
          <w:noProof w:val="0"/>
          <w:color w:val="000000"/>
          <w:position w:val="0"/>
          <w:sz w:val="20"/>
          <w:u w:val="none"/>
          <w:vertAlign w:val="baseline"/>
        </w:rPr>
        <w:t xml:space="preserve">Likewise, Pia's emails regarding the EMMC's efforts to "creat[e] order in the supply side of business," Dkt. No. 513, App'x, Ex. J at 1-2, raise questions as to whether he was actively and knowingly involved in the EMMC's efforts to control the supply of fresh agaricus mushrooms. Further, questions remain as to whether, through his "cheerleading" and his participation in various EMMC committees, Pia exerted his influence so as to shape the EMMC's intentions. Cf. </w:t>
      </w:r>
      <w:bookmarkStart w:id="128" w:name="Bookmark_I5N6YFV42D6NC30050000400"/>
      <w:bookmarkEnd w:id="128"/>
      <w:hyperlink r:id="rId35"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 801 F. Supp. 2d 705, 740 (E.D. Tenn. 2011)</w:t>
        </w:r>
      </w:hyperlink>
      <w:r>
        <w:rPr>
          <w:rFonts w:ascii="arial" w:eastAsia="arial" w:hAnsi="arial" w:cs="arial"/>
          <w:b w:val="0"/>
          <w:i w:val="0"/>
          <w:strike w:val="0"/>
          <w:noProof w:val="0"/>
          <w:color w:val="000000"/>
          <w:position w:val="0"/>
          <w:sz w:val="20"/>
          <w:u w:val="none"/>
          <w:vertAlign w:val="baseline"/>
        </w:rPr>
        <w:t xml:space="preserve"> (denying summary judgment with respect to the plaintiffs' claims against an individual defendant where there was evidence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the individual defendant "was one of the two individuals responsible for designing, initiating and driving the conspiracy alleged in th[e] case," e.g., he "developed the business plan," "signed the full supply agreements and the amendments thereto" and "authorized and participated in the creation of . . . a sham competitor"). </w:t>
      </w:r>
      <w:r>
        <w:rPr>
          <w:rFonts w:ascii="arial" w:eastAsia="arial" w:hAnsi="arial" w:cs="arial"/>
          <w:b w:val="0"/>
          <w:i w:val="0"/>
          <w:strike w:val="0"/>
          <w:noProof w:val="0"/>
          <w:color w:val="000000"/>
          <w:position w:val="0"/>
          <w:sz w:val="20"/>
          <w:u w:val="none"/>
          <w:vertAlign w:val="baseline"/>
        </w:rPr>
        <w:t>Consequently, I will deny certain defendants' motion for summary judgment with respect to plaintiffs' claims against John Pia.</w:t>
      </w:r>
    </w:p>
    <w:p>
      <w:pPr>
        <w:keepNext w:val="0"/>
        <w:widowControl w:val="0"/>
        <w:spacing w:before="200" w:after="0" w:line="260" w:lineRule="atLeast"/>
        <w:ind w:left="0" w:right="0" w:firstLine="0"/>
        <w:jc w:val="both"/>
      </w:pPr>
      <w:bookmarkStart w:id="129" w:name="Bookmark_para_19"/>
      <w:bookmarkEnd w:id="129"/>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30" w:name="Bookmark_para_20"/>
      <w:bookmarkEnd w:id="130"/>
      <w:r>
        <w:rPr>
          <w:rFonts w:ascii="arial" w:eastAsia="arial" w:hAnsi="arial" w:cs="arial"/>
          <w:b w:val="0"/>
          <w:i w:val="0"/>
          <w:strike w:val="0"/>
          <w:noProof w:val="0"/>
          <w:color w:val="000000"/>
          <w:position w:val="0"/>
          <w:sz w:val="20"/>
          <w:u w:val="none"/>
          <w:vertAlign w:val="baseline"/>
        </w:rPr>
        <w:t xml:space="preserve">AND NOW, this 6th day of March, 2017, upon consideration of defendants' motion for partial summary judgment on the issue of entitlement to immunity from plaintiffs'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for Reconsideration of the Court's March 2, 2009 Opinion (Dkt. No. 513), plaintiffs' opposition to the motion for summary judgment with respect to John Pia (Dkt. No. 612), certain defendants'</w:t>
      </w:r>
      <w:r>
        <w:rPr>
          <w:rFonts w:ascii="arial" w:eastAsia="arial" w:hAnsi="arial" w:cs="arial"/>
          <w:vertAlign w:val="superscript"/>
        </w:rPr>
        <w:footnoteReference w:customMarkFollows="1" w:id="11"/>
        <w:t xml:space="preserve">1</w:t>
      </w:r>
      <w:r>
        <w:rPr>
          <w:rFonts w:ascii="arial" w:eastAsia="arial" w:hAnsi="arial" w:cs="arial"/>
          <w:b w:val="0"/>
          <w:i w:val="0"/>
          <w:strike w:val="0"/>
          <w:noProof w:val="0"/>
          <w:color w:val="000000"/>
          <w:position w:val="0"/>
          <w:sz w:val="20"/>
          <w:u w:val="none"/>
          <w:vertAlign w:val="baseline"/>
        </w:rPr>
        <w:t xml:space="preserve"> reply in support of the motion of John Pia for partial summary judgment (Dkt. No. 615), plaintiffs' sur-reply in opposition to the motion of John Pia for partial summary judgment (Dkt. No. 650) and defendant John Pia's sur-reply in support of the motion for partial summary judgment (Dkt. No. 652), it is ORDERED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the motion is DENIED to the extent that it seeks summary judgment in defendants' favor with respect to plaintiffs' claims against John Pia.</w:t>
      </w:r>
    </w:p>
    <w:p>
      <w:pPr>
        <w:keepNext w:val="0"/>
        <w:widowControl w:val="0"/>
        <w:spacing w:before="200" w:after="0" w:line="260" w:lineRule="atLeast"/>
        <w:ind w:left="0" w:right="0" w:firstLine="0"/>
        <w:jc w:val="both"/>
      </w:pPr>
      <w:bookmarkStart w:id="132" w:name="Bookmark_para_21"/>
      <w:bookmarkEnd w:id="132"/>
      <w:r>
        <w:rPr>
          <w:rFonts w:ascii="arial" w:eastAsia="arial" w:hAnsi="arial" w:cs="arial"/>
          <w:b w:val="0"/>
          <w:i/>
          <w:strike w:val="0"/>
          <w:noProof w:val="0"/>
          <w:color w:val="000000"/>
          <w:position w:val="0"/>
          <w:sz w:val="20"/>
          <w:u w:val="none"/>
          <w:vertAlign w:val="baseline"/>
        </w:rPr>
        <w:t>/s/ Thomas N. O'Neill, Jr.</w:t>
      </w:r>
    </w:p>
    <w:p>
      <w:pPr>
        <w:keepNext w:val="0"/>
        <w:widowControl w:val="0"/>
        <w:spacing w:before="200" w:after="0" w:line="260" w:lineRule="atLeast"/>
        <w:ind w:left="0" w:right="0" w:firstLine="0"/>
        <w:jc w:val="both"/>
      </w:pPr>
      <w:bookmarkStart w:id="133" w:name="Bookmark_para_22"/>
      <w:bookmarkEnd w:id="133"/>
      <w:r>
        <w:rPr>
          <w:rFonts w:ascii="arial" w:eastAsia="arial" w:hAnsi="arial" w:cs="arial"/>
          <w:b w:val="0"/>
          <w:i w:val="0"/>
          <w:strike w:val="0"/>
          <w:noProof w:val="0"/>
          <w:color w:val="000000"/>
          <w:position w:val="0"/>
          <w:sz w:val="20"/>
          <w:u w:val="none"/>
          <w:vertAlign w:val="baseline"/>
        </w:rPr>
        <w:t>THOMAS N. O'NEILL, JR., J.</w:t>
      </w:r>
    </w:p>
    <w:p/>
    <w:p>
      <w:pPr>
        <w:ind w:left="200"/>
      </w:pPr>
      <w:r>
        <w:br/>
      </w:r>
      <w:r>
        <w:pict>
          <v:line id="_x0000_s103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 w:name="Bookmark_fnpara_1"/>
      <w:bookmarkEnd w:id="2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779 (class certification opinion), Dkt. No. 780 (class certification order), Dkt. No. 791 (redacted class certification opinion and order). Defendants filed petitions with the Court of Appeals for the Third Circuit for leave to appeal the class certification decisions pursuant to </w:t>
      </w:r>
      <w:r>
        <w:rPr>
          <w:rFonts w:ascii="arial" w:eastAsia="arial" w:hAnsi="arial" w:cs="arial"/>
          <w:b/>
          <w:i/>
          <w:strike w:val="0"/>
          <w:noProof w:val="0"/>
          <w:color w:val="000000"/>
          <w:position w:val="0"/>
          <w:sz w:val="18"/>
          <w:u w:val="none"/>
          <w:vertAlign w:val="baseline"/>
        </w:rPr>
        <w:t>Rule 23(f) of the Federal Rules of Civil Procedure</w:t>
      </w:r>
      <w:r>
        <w:rPr>
          <w:rFonts w:ascii="arial" w:eastAsia="arial" w:hAnsi="arial" w:cs="arial"/>
          <w:b w:val="0"/>
          <w:i w:val="0"/>
          <w:strike w:val="0"/>
          <w:noProof w:val="0"/>
          <w:color w:val="000000"/>
          <w:position w:val="0"/>
          <w:sz w:val="18"/>
          <w:u w:val="none"/>
          <w:vertAlign w:val="baseline"/>
        </w:rPr>
        <w:t>, but the Court of Appeals denied their petitions on January 9, 2017.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 w:name="Bookmark_fnpara_2"/>
      <w:bookmarkEnd w:id="22"/>
      <w:r>
        <w:rPr>
          <w:rFonts w:ascii="arial" w:eastAsia="arial" w:hAnsi="arial" w:cs="arial"/>
          <w:b w:val="0"/>
          <w:i w:val="0"/>
          <w:strike w:val="0"/>
          <w:noProof w:val="0"/>
          <w:color w:val="000000"/>
          <w:position w:val="0"/>
          <w:sz w:val="18"/>
          <w:u w:val="none"/>
          <w:vertAlign w:val="baseline"/>
        </w:rPr>
        <w:t>Publix Supermarkets, Inc. and Giant Eagle, Inc. are opt-out plaintiffs. Further references to "plaintiffs" in this opinion do not encompass the opt-out plaintiffs.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 w:name="Bookmark_fnpara_3"/>
      <w:bookmarkEnd w:id="23"/>
      <w:r>
        <w:rPr>
          <w:rFonts w:ascii="arial" w:eastAsia="arial" w:hAnsi="arial" w:cs="arial"/>
          <w:b w:val="0"/>
          <w:i w:val="0"/>
          <w:strike w:val="0"/>
          <w:noProof w:val="0"/>
          <w:color w:val="000000"/>
          <w:position w:val="0"/>
          <w:sz w:val="18"/>
          <w:u w:val="none"/>
          <w:vertAlign w:val="baseline"/>
        </w:rPr>
        <w:t xml:space="preserve">Here, "certain defendants" are: the Eastern Mushroom Marketing Cooperative (EMMC), Robert A. Feranto, Jr., t/a Bella Mushroom Farms; Brownstone Mushroom Farms, Inc.; Brownstone Farms, Inc.; Brownstone Mushroom Farm; To-Jo Fresh Mushrooms, Inc.; Country Fresh Mushroom Co.; Gino Gaspari &amp; Sons, Inc.; Gaspari Mushroom Co., Inc.; Gaspari Bros., Inc.; Kaolin Mushroom Farms, Inc.; South Mill Mushroom Farms, Inc.; South Mill Mushroom Sales, Inc.; Sher-Rockee Mushroom Farm, LLC; C&amp;C Carriage Mushroom Co.; Oakshire Mushroom Farm, Inc.; Phillips Mushroom Farms, Inc.; Louis M. Marson Jr., Inc.; Monterey Mushrooms, Inc.; John Pia; and Michael Pia.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513 (Mot.) at 3; Dkt. No. 513 (Mem.) at 13.</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 w:name="Bookmark_fnpara_4"/>
      <w:bookmarkEnd w:id="24"/>
      <w:r>
        <w:rPr>
          <w:rFonts w:ascii="arial" w:eastAsia="arial" w:hAnsi="arial" w:cs="arial"/>
          <w:b w:val="0"/>
          <w:i w:val="0"/>
          <w:strike w:val="0"/>
          <w:noProof w:val="0"/>
          <w:color w:val="000000"/>
          <w:position w:val="0"/>
          <w:sz w:val="18"/>
          <w:u w:val="none"/>
          <w:vertAlign w:val="baseline"/>
        </w:rPr>
        <w:t xml:space="preserve">As has been the case in this litigation on more than one occasion, in considering certain defendants' motion, the Court has been required to follow the thread of the parties' arguments through a winding maze of briefs and also to set aside arguments which have been rendered moot by the Court's intervening decisions. A group of defendants first sought summary judgment with respect to plaintiffs' claims against John Pia in a July 1, 2008 motion for partial summary judgment. Dkt. No. 245. On March 26, 2009, I denied their request for summary judgment with respect to plaintiffs' claims against John Pia without prejudice to refilling a subsequent motion. Dkt. No. 294 at 25; </w:t>
      </w:r>
      <w:r>
        <w:rPr>
          <w:rFonts w:ascii="arial" w:eastAsia="arial" w:hAnsi="arial" w:cs="arial"/>
          <w:b w:val="0"/>
          <w:i w:val="0"/>
          <w:strike w:val="0"/>
          <w:noProof w:val="0"/>
          <w:color w:val="000000"/>
          <w:position w:val="0"/>
          <w:sz w:val="18"/>
          <w:u w:val="single"/>
          <w:vertAlign w:val="baseline"/>
        </w:rPr>
        <w:t xml:space="preserve">see also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9 n.6 ("[R]esolution at this stage would be premature. While some of the discovery may have allowed for plaintiffs to discover facts relating to defendants' individualized arguments, the nature of the Capper-Volstead exemption did not require plaintiffs to do so at this stage and I find sufficient their </w:t>
      </w:r>
      <w:hyperlink r:id="rId1" w:history="1">
        <w:r>
          <w:rPr>
            <w:rFonts w:ascii="arial" w:eastAsia="arial" w:hAnsi="arial" w:cs="arial"/>
            <w:b w:val="0"/>
            <w:i/>
            <w:strike w:val="0"/>
            <w:noProof w:val="0"/>
            <w:color w:val="0077CC"/>
            <w:position w:val="0"/>
            <w:sz w:val="18"/>
            <w:u w:val="single"/>
            <w:vertAlign w:val="baseline"/>
          </w:rPr>
          <w:t>Rule 56(f)</w:t>
        </w:r>
      </w:hyperlink>
      <w:r>
        <w:rPr>
          <w:rFonts w:ascii="arial" w:eastAsia="arial" w:hAnsi="arial" w:cs="arial"/>
          <w:b w:val="0"/>
          <w:i w:val="0"/>
          <w:strike w:val="0"/>
          <w:noProof w:val="0"/>
          <w:color w:val="000000"/>
          <w:position w:val="0"/>
          <w:sz w:val="18"/>
          <w:u w:val="none"/>
          <w:vertAlign w:val="baseline"/>
        </w:rPr>
        <w:t xml:space="preserve"> affidavit stating that that discovery on such issues is still necessary."). Certain defendants then sought summary judgment on John Pia's behalf for a second time on January 6, 2014 in their motion for partial summary judgment and reconsideration of the Court's March 26, 2009 Opinion. Dkt. No. 513. In their opposition to that motion, plaintiffs did not specifically respond to certain defendants' arguments with respect to plaintiffs' claims against John Pia.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534. Then, in response to the Court's Order of October 14, 2014 which directed plaintiffs' to file a response, Dkt. No. 610, plaintiffs filed a specific opposition to certain defendants' renewed motion for partial summary judgment with respect to their claims against John Pia on November 12, 2014. Dkt. No. 612. Certain defendants filed a reply on December 8, 2014. Dkt. No. 615. Plaintiffs' sur-reply, Dkt. No. 650, and John Pia's sur-reply, Dkt. No. 652, then followed.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 w:name="Bookmark_fnpara_5"/>
      <w:bookmarkEnd w:id="25"/>
      <w:r>
        <w:rPr>
          <w:rFonts w:ascii="arial" w:eastAsia="arial" w:hAnsi="arial" w:cs="arial"/>
          <w:b w:val="0"/>
          <w:i w:val="0"/>
          <w:strike w:val="0"/>
          <w:noProof w:val="0"/>
          <w:color w:val="000000"/>
          <w:position w:val="0"/>
          <w:sz w:val="18"/>
          <w:u w:val="none"/>
          <w:vertAlign w:val="baseline"/>
        </w:rPr>
        <w:t>The factual background of this litigation is set forth in detail in the Court's prior decisions and is discussed in this memorandum only to the extent necessary to explain the Court's decision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 w:name="Bookmark_fnpara_6"/>
      <w:bookmarkEnd w:id="29"/>
      <w:r>
        <w:rPr>
          <w:rFonts w:ascii="arial" w:eastAsia="arial" w:hAnsi="arial" w:cs="arial"/>
          <w:b w:val="0"/>
          <w:i w:val="0"/>
          <w:strike w:val="0"/>
          <w:noProof w:val="0"/>
          <w:color w:val="000000"/>
          <w:position w:val="0"/>
          <w:sz w:val="18"/>
          <w:u w:val="none"/>
          <w:vertAlign w:val="baseline"/>
        </w:rPr>
        <w:t xml:space="preserve">Although they cite no evidence in their brief to support the characterization, certain defendants refer to Thomas as "a </w:t>
      </w:r>
      <w:r>
        <w:rPr>
          <w:rFonts w:ascii="arial" w:eastAsia="arial" w:hAnsi="arial" w:cs="arial"/>
          <w:b w:val="0"/>
          <w:i/>
          <w:strike w:val="0"/>
          <w:noProof w:val="0"/>
          <w:color w:val="000000"/>
          <w:position w:val="0"/>
          <w:sz w:val="18"/>
          <w:u w:val="none"/>
          <w:vertAlign w:val="baseline"/>
        </w:rPr>
        <w:t>disgruntled</w:t>
      </w:r>
      <w:r>
        <w:rPr>
          <w:rFonts w:ascii="arial" w:eastAsia="arial" w:hAnsi="arial" w:cs="arial"/>
          <w:b w:val="0"/>
          <w:i w:val="0"/>
          <w:strike w:val="0"/>
          <w:noProof w:val="0"/>
          <w:color w:val="000000"/>
          <w:position w:val="0"/>
          <w:sz w:val="18"/>
          <w:u w:val="none"/>
          <w:vertAlign w:val="baseline"/>
        </w:rPr>
        <w:t xml:space="preserve"> partner of John Pia." Dkt. No. 615 at ECF p. 6 (emphasis added). However, the record in this case reveals that Thomas was once a fifty percent owner of South Mill Distribution, which was "an umbrella organization" for mushroom distributorships in Dallas, Atlanta and New Orleans. Dkt. No. 273, Ex. 11 (Thomas Dep.) at 14:22-24. Pia and his brother Michael Pia also held ownership interests in the distribution entities.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11:7-12:17, 13:15-14:17. Asked how, in the end, he had gone "from [being] a 50 percent owner to not being an owner of South Mill Distribution," Thomas answered, "[t]hrough a lot of litigation. There was numerous lawsuits. I was sued by . . . my partners . . . [t]he Pias."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15:10-18. He testified that the litigation ultimately was settled and that under the settlement he "gave the ownership 100 percent to the Pias."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16:6-12.</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6" w:name="Bookmark_fnpara_7"/>
      <w:bookmarkEnd w:id="36"/>
      <w:bookmarkStart w:id="37" w:name="Bookmark_I5N6YFV42D6NC10010000400"/>
      <w:bookmarkEnd w:id="37"/>
      <w:r>
        <w:rPr>
          <w:rFonts w:ascii="arial" w:eastAsia="arial" w:hAnsi="arial" w:cs="arial"/>
          <w:b w:val="0"/>
          <w:i w:val="0"/>
          <w:strike w:val="0"/>
          <w:noProof w:val="0"/>
          <w:color w:val="000000"/>
          <w:position w:val="0"/>
          <w:sz w:val="18"/>
          <w:u w:val="none"/>
          <w:vertAlign w:val="baseline"/>
        </w:rPr>
        <w:t xml:space="preserve">In relevant part, I found the EMMC did not qualify as an exempt agricultural cooperative under Capper-Volstead because one member, M. Cutone Mushroom Co., Inc., was not technically a grower of agricultural produce. </w:t>
      </w:r>
      <w:bookmarkStart w:id="38" w:name="Bookmark_I5N6YFV42D6NC10030000400"/>
      <w:bookmarkEnd w:id="38"/>
      <w:bookmarkStart w:id="39" w:name="Bookmark_I5N6YFV428T52R0050000400"/>
      <w:bookmarkEnd w:id="39"/>
      <w:hyperlink r:id="rId2" w:history="1">
        <w:r>
          <w:rPr>
            <w:rFonts w:ascii="arial" w:eastAsia="arial" w:hAnsi="arial" w:cs="arial"/>
            <w:b w:val="0"/>
            <w:i/>
            <w:strike w:val="0"/>
            <w:noProof w:val="0"/>
            <w:color w:val="0077CC"/>
            <w:position w:val="0"/>
            <w:sz w:val="18"/>
            <w:u w:val="single"/>
            <w:vertAlign w:val="baseline"/>
          </w:rPr>
          <w:t>In re Mushroom</w:t>
        </w:r>
      </w:hyperlink>
      <w:hyperlink r:id="rId2" w:history="1">
        <w:r>
          <w:rPr>
            <w:rFonts w:ascii="arial" w:eastAsia="arial" w:hAnsi="arial" w:cs="arial"/>
            <w:b w:val="0"/>
            <w:i/>
            <w:strike w:val="0"/>
            <w:noProof w:val="0"/>
            <w:color w:val="0077CC"/>
            <w:position w:val="0"/>
            <w:sz w:val="18"/>
            <w:u w:val="single"/>
            <w:vertAlign w:val="baseline"/>
          </w:rPr>
          <w:t>, 621 F. Supp. 2d at 286</w:t>
        </w:r>
      </w:hyperlink>
      <w:r>
        <w:rPr>
          <w:rFonts w:ascii="arial" w:eastAsia="arial" w:hAnsi="arial" w:cs="arial"/>
          <w:b w:val="0"/>
          <w:i w:val="0"/>
          <w:strike w:val="0"/>
          <w:noProof w:val="0"/>
          <w:color w:val="000000"/>
          <w:position w:val="0"/>
          <w:sz w:val="18"/>
          <w:u w:val="none"/>
          <w:vertAlign w:val="baseline"/>
        </w:rPr>
        <w:t xml:space="preserve">. This ruling still stands. </w:t>
      </w:r>
      <w:bookmarkStart w:id="40" w:name="Bookmark_I5N6YFV42D6NC10030000400_2"/>
      <w:bookmarkEnd w:id="40"/>
      <w:r>
        <w:rPr>
          <w:rFonts w:ascii="arial" w:eastAsia="arial" w:hAnsi="arial" w:cs="arial"/>
          <w:b w:val="0"/>
          <w:i w:val="0"/>
          <w:strike w:val="0"/>
          <w:noProof w:val="0"/>
          <w:color w:val="000000"/>
          <w:position w:val="0"/>
          <w:sz w:val="18"/>
          <w:u w:val="none"/>
          <w:vertAlign w:val="baseline"/>
        </w:rPr>
        <w:t xml:space="preserve">In 2011, defendants asked the Court of Appeals for the Third Circuit to review this Court's initial Capper-Volstead determination, but the Court of Appeals held that "a district court order denying a defendant [the </w:t>
      </w:r>
      <w:hyperlink r:id="rId3" w:history="1">
        <w:r>
          <w:rPr>
            <w:rFonts w:ascii="arial" w:eastAsia="arial" w:hAnsi="arial" w:cs="arial"/>
            <w:b w:val="0"/>
            <w:i/>
            <w:strike w:val="0"/>
            <w:noProof w:val="0"/>
            <w:color w:val="0077CC"/>
            <w:position w:val="0"/>
            <w:sz w:val="18"/>
            <w:u w:val="single"/>
            <w:vertAlign w:val="baseline"/>
          </w:rPr>
          <w:t>Capper-Volstead Act's</w:t>
        </w:r>
      </w:hyperlink>
      <w:r>
        <w:rPr>
          <w:rFonts w:ascii="arial" w:eastAsia="arial" w:hAnsi="arial" w:cs="arial"/>
          <w:b w:val="0"/>
          <w:i w:val="0"/>
          <w:strike w:val="0"/>
          <w:noProof w:val="0"/>
          <w:color w:val="000000"/>
          <w:position w:val="0"/>
          <w:sz w:val="18"/>
          <w:u w:val="none"/>
          <w:vertAlign w:val="baseline"/>
        </w:rPr>
        <w:t xml:space="preserve">] protections is not effectively unreviewable after final judgment, and, therefore, is not a collateral order subject to interlocutory review." </w:t>
      </w:r>
      <w:bookmarkStart w:id="41" w:name="Bookmark_I5N6YFV42D6NC10020000400"/>
      <w:bookmarkEnd w:id="41"/>
      <w:hyperlink r:id="rId4" w:history="1">
        <w:r>
          <w:rPr>
            <w:rFonts w:ascii="arial" w:eastAsia="arial" w:hAnsi="arial" w:cs="arial"/>
            <w:b w:val="0"/>
            <w:i/>
            <w:strike w:val="0"/>
            <w:noProof w:val="0"/>
            <w:color w:val="0077CC"/>
            <w:position w:val="0"/>
            <w:sz w:val="18"/>
            <w:u w:val="single"/>
            <w:vertAlign w:val="baseline"/>
          </w:rPr>
          <w:t>In re Mushroom</w:t>
        </w:r>
      </w:hyperlink>
      <w:hyperlink r:id="rId4" w:history="1">
        <w:r>
          <w:rPr>
            <w:rFonts w:ascii="arial" w:eastAsia="arial" w:hAnsi="arial" w:cs="arial"/>
            <w:b w:val="0"/>
            <w:i/>
            <w:strike w:val="0"/>
            <w:noProof w:val="0"/>
            <w:color w:val="0077CC"/>
            <w:position w:val="0"/>
            <w:sz w:val="18"/>
            <w:u w:val="single"/>
            <w:vertAlign w:val="baseline"/>
          </w:rPr>
          <w:t>, 655 F.3d 158, 167 (3d Cir. 2011)</w:t>
        </w:r>
      </w:hyperlink>
      <w:r>
        <w:rPr>
          <w:rFonts w:ascii="arial" w:eastAsia="arial" w:hAnsi="arial" w:cs="arial"/>
          <w:b w:val="0"/>
          <w:i w:val="0"/>
          <w:strike w:val="0"/>
          <w:noProof w:val="0"/>
          <w:color w:val="000000"/>
          <w:position w:val="0"/>
          <w:sz w:val="18"/>
          <w:u w:val="none"/>
          <w:vertAlign w:val="baseline"/>
        </w:rPr>
        <w:t xml:space="preserve">. A number of defendants subsequently sought reconsideration of my 2009 decision. </w:t>
      </w:r>
      <w:bookmarkStart w:id="42" w:name="Bookmark_I5N6YFV42D6NC10050000400"/>
      <w:bookmarkEnd w:id="42"/>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513. I denied their request for reconsideration and certified my Order for appeal. </w:t>
      </w:r>
      <w:bookmarkStart w:id="43" w:name="Bookmark_I5N6YFV42D6NC10040000400"/>
      <w:bookmarkEnd w:id="43"/>
      <w:hyperlink r:id="rId5" w:history="1">
        <w:r>
          <w:rPr>
            <w:rFonts w:ascii="arial" w:eastAsia="arial" w:hAnsi="arial" w:cs="arial"/>
            <w:b w:val="0"/>
            <w:i/>
            <w:strike w:val="0"/>
            <w:noProof w:val="0"/>
            <w:color w:val="0077CC"/>
            <w:position w:val="0"/>
            <w:sz w:val="18"/>
            <w:u w:val="single"/>
            <w:vertAlign w:val="baseline"/>
          </w:rPr>
          <w:t xml:space="preserve">In re Mushroom Direct Purchaser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54 F. Supp. 3d 382, 384 (E.D. Pa. 2014)</w:t>
        </w:r>
      </w:hyperlink>
      <w:r>
        <w:rPr>
          <w:rFonts w:ascii="arial" w:eastAsia="arial" w:hAnsi="arial" w:cs="arial"/>
          <w:b w:val="0"/>
          <w:i w:val="0"/>
          <w:strike w:val="0"/>
          <w:noProof w:val="0"/>
          <w:color w:val="000000"/>
          <w:position w:val="0"/>
          <w:sz w:val="18"/>
          <w:u w:val="none"/>
          <w:vertAlign w:val="baseline"/>
        </w:rPr>
        <w:t>. The Court of Appeals then denied defendants' requests for permission to appeal from this Court's 2014 decision seeking reconsideration of my Capper-Volstead finding. Dkt. No. 614.</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6" w:name="Bookmark_fnpara_8"/>
      <w:bookmarkEnd w:id="46"/>
      <w:bookmarkStart w:id="47" w:name="Bookmark_I5N6YFV42SF7YG0020000400"/>
      <w:bookmarkEnd w:id="47"/>
      <w:r>
        <w:rPr>
          <w:rFonts w:ascii="arial" w:eastAsia="arial" w:hAnsi="arial" w:cs="arial"/>
          <w:b w:val="0"/>
          <w:i w:val="0"/>
          <w:strike w:val="0"/>
          <w:noProof w:val="0"/>
          <w:color w:val="000000"/>
          <w:position w:val="0"/>
          <w:sz w:val="18"/>
          <w:u w:val="none"/>
          <w:vertAlign w:val="baseline"/>
        </w:rPr>
        <w:t xml:space="preserve">In my Opinion denying defendants' motion for reconsideration of my Capper-Volstead decision, I noted that counsel for the EMMC had not told defendants that Capper-Volstead removed all restrictions from their proposed conduct, but rather, instructed its members that any anticompetitive conduct might be protected under Capper-Volstead only if certain conditions were met. </w:t>
      </w:r>
      <w:r>
        <w:rPr>
          <w:rFonts w:ascii="arial" w:eastAsia="arial" w:hAnsi="arial" w:cs="arial"/>
          <w:b w:val="0"/>
          <w:i w:val="0"/>
          <w:strike w:val="0"/>
          <w:noProof w:val="0"/>
          <w:color w:val="000000"/>
          <w:position w:val="0"/>
          <w:sz w:val="18"/>
          <w:u w:val="single"/>
          <w:vertAlign w:val="baseline"/>
        </w:rPr>
        <w:t xml:space="preserve">See </w:t>
      </w:r>
      <w:bookmarkStart w:id="48" w:name="Bookmark_I5N6YFV42SF7YG0010000400"/>
      <w:bookmarkEnd w:id="48"/>
      <w:hyperlink r:id="rId5" w:history="1">
        <w:r>
          <w:rPr>
            <w:rFonts w:ascii="arial" w:eastAsia="arial" w:hAnsi="arial" w:cs="arial"/>
            <w:b w:val="0"/>
            <w:i/>
            <w:strike w:val="0"/>
            <w:noProof w:val="0"/>
            <w:color w:val="0077CC"/>
            <w:position w:val="0"/>
            <w:sz w:val="18"/>
            <w:u w:val="single"/>
            <w:vertAlign w:val="baseline"/>
          </w:rPr>
          <w:t xml:space="preserve">In re Mushroom Direct Purchaser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54 F. Supp. 3d 382, 392 n.15 (E.D. Pa. 2014)</w:t>
        </w:r>
      </w:hyperlink>
      <w:r>
        <w:rPr>
          <w:rFonts w:ascii="arial" w:eastAsia="arial" w:hAnsi="arial" w:cs="arial"/>
          <w:b w:val="0"/>
          <w:i w:val="0"/>
          <w:strike w:val="0"/>
          <w:noProof w:val="0"/>
          <w:color w:val="000000"/>
          <w:position w:val="0"/>
          <w:sz w:val="18"/>
          <w:u w:val="none"/>
          <w:vertAlign w:val="baseline"/>
        </w:rPr>
        <w:t>. I wrote that</w:t>
      </w:r>
    </w:p>
    <w:p>
      <w:pPr>
        <w:keepNext w:val="0"/>
        <w:widowControl w:val="0"/>
        <w:spacing w:before="200" w:after="0" w:line="240" w:lineRule="atLeast"/>
        <w:ind w:left="400" w:right="0" w:firstLine="0"/>
        <w:jc w:val="both"/>
      </w:pPr>
      <w:bookmarkStart w:id="49" w:name="Bookmark_para_10"/>
      <w:bookmarkEnd w:id="49"/>
      <w:r>
        <w:rPr>
          <w:rFonts w:ascii="arial" w:eastAsia="arial" w:hAnsi="arial" w:cs="arial"/>
          <w:b w:val="0"/>
          <w:i w:val="0"/>
          <w:strike w:val="0"/>
          <w:noProof w:val="0"/>
          <w:color w:val="000000"/>
          <w:position w:val="0"/>
          <w:sz w:val="18"/>
          <w:u w:val="none"/>
          <w:vertAlign w:val="baseline"/>
        </w:rPr>
        <w:t xml:space="preserve">defendants were instructed by their counsel that members of the EMMC must be "producers", i.e. mushroom growers and farmers and were advised that the </w:t>
      </w:r>
      <w:hyperlink r:id="rId3" w:history="1">
        <w:r>
          <w:rPr>
            <w:rFonts w:ascii="arial" w:eastAsia="arial" w:hAnsi="arial" w:cs="arial"/>
            <w:b w:val="0"/>
            <w:i/>
            <w:strike w:val="0"/>
            <w:noProof w:val="0"/>
            <w:color w:val="0077CC"/>
            <w:position w:val="0"/>
            <w:sz w:val="18"/>
            <w:u w:val="single"/>
            <w:vertAlign w:val="baseline"/>
          </w:rPr>
          <w:t>Capper-Volstead Act</w:t>
        </w:r>
      </w:hyperlink>
      <w:r>
        <w:rPr>
          <w:rFonts w:ascii="arial" w:eastAsia="arial" w:hAnsi="arial" w:cs="arial"/>
          <w:b w:val="0"/>
          <w:i w:val="0"/>
          <w:strike w:val="0"/>
          <w:noProof w:val="0"/>
          <w:color w:val="000000"/>
          <w:position w:val="0"/>
          <w:sz w:val="18"/>
          <w:u w:val="none"/>
          <w:vertAlign w:val="baseline"/>
        </w:rPr>
        <w:t xml:space="preserve"> affords only a limited exception and does not provide a blanket immunity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 . . Counsel also advised defendants that there is no protection offered by . . . Capper-Volstead if the potentially </w:t>
      </w:r>
      <w:r>
        <w:rPr>
          <w:rFonts w:ascii="arial" w:eastAsia="arial" w:hAnsi="arial" w:cs="arial"/>
          <w:b w:val="0"/>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offending "agreement" is entered into with a </w:t>
      </w:r>
      <w:r>
        <w:rPr>
          <w:rFonts w:ascii="arial" w:eastAsia="arial" w:hAnsi="arial" w:cs="arial"/>
          <w:b w:val="0"/>
          <w:i/>
          <w:strike w:val="0"/>
          <w:noProof w:val="0"/>
          <w:color w:val="000000"/>
          <w:position w:val="0"/>
          <w:sz w:val="18"/>
          <w:u w:val="none"/>
          <w:vertAlign w:val="baseline"/>
        </w:rPr>
        <w:t>non</w:t>
      </w:r>
      <w:r>
        <w:rPr>
          <w:rFonts w:ascii="arial" w:eastAsia="arial" w:hAnsi="arial" w:cs="arial"/>
          <w:b w:val="0"/>
          <w:i w:val="0"/>
          <w:strike w:val="0"/>
          <w:noProof w:val="0"/>
          <w:color w:val="000000"/>
          <w:position w:val="0"/>
          <w:sz w:val="18"/>
          <w:u w:val="none"/>
          <w:vertAlign w:val="baseline"/>
        </w:rPr>
        <w:t>-member and there is also no protection if the activity engaged in under</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Capper-Volstead </w:t>
      </w:r>
      <w:r>
        <w:rPr>
          <w:rFonts w:ascii="arial" w:eastAsia="arial" w:hAnsi="arial" w:cs="arial"/>
          <w:b w:val="0"/>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shield otherwise violates the complex law under </w:t>
      </w:r>
      <w:r>
        <w:rPr>
          <w:rFonts w:ascii="arial" w:eastAsia="arial" w:hAnsi="arial" w:cs="arial"/>
          <w:b w:val="0"/>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 . . .</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(internal quotations and citations omitted);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Dkt. No. 513, Ex. I at 3 (January 23, 2001 letter to Pia) (concluding that "the EMMC must, going forward, continue to comply with Capper-Volstead's other requirements and must also not overstep its bounds under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on issues such as price discrimination, predatory pricing, agreements with competitors and outsiders, boycotts and attempted or actual monopolization, etc.").</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6" w:name="Bookmark_fnpara_9"/>
      <w:bookmarkEnd w:id="66"/>
      <w:bookmarkStart w:id="67" w:name="Bookmark_I5N6YFV42N1R180010000400"/>
      <w:bookmarkEnd w:id="67"/>
      <w:bookmarkStart w:id="68" w:name="Bookmark_I5N6YFV42N1R180030000400"/>
      <w:bookmarkEnd w:id="68"/>
      <w:r>
        <w:rPr>
          <w:rFonts w:ascii="arial" w:eastAsia="arial" w:hAnsi="arial" w:cs="arial"/>
          <w:b w:val="0"/>
          <w:i w:val="0"/>
          <w:strike w:val="0"/>
          <w:noProof w:val="0"/>
          <w:color w:val="000000"/>
          <w:position w:val="0"/>
          <w:sz w:val="18"/>
          <w:u w:val="none"/>
          <w:vertAlign w:val="baseline"/>
        </w:rPr>
        <w:t xml:space="preserve">When certain defendants first sought summary judgment on Pia's behalf, they rested their argument, in part, on the ground that, as an officer of an EMMC member, he lacked the capacity to conspire pursuant to </w:t>
      </w:r>
      <w:bookmarkStart w:id="69" w:name="Bookmark_I5N6YFV428T52S0050000400"/>
      <w:bookmarkEnd w:id="69"/>
      <w:hyperlink r:id="rId6" w:history="1">
        <w:r>
          <w:rPr>
            <w:rFonts w:ascii="arial" w:eastAsia="arial" w:hAnsi="arial" w:cs="arial"/>
            <w:b w:val="0"/>
            <w:i/>
            <w:strike w:val="0"/>
            <w:noProof w:val="0"/>
            <w:color w:val="0077CC"/>
            <w:position w:val="0"/>
            <w:sz w:val="18"/>
            <w:u w:val="single"/>
            <w:vertAlign w:val="baseline"/>
          </w:rPr>
          <w:t>Copperweld Corp. v. Independence Tube Corp.</w:t>
        </w:r>
      </w:hyperlink>
      <w:hyperlink r:id="rId6" w:history="1">
        <w:r>
          <w:rPr>
            <w:rFonts w:ascii="arial" w:eastAsia="arial" w:hAnsi="arial" w:cs="arial"/>
            <w:b w:val="0"/>
            <w:i/>
            <w:strike w:val="0"/>
            <w:noProof w:val="0"/>
            <w:color w:val="0077CC"/>
            <w:position w:val="0"/>
            <w:sz w:val="18"/>
            <w:u w:val="single"/>
            <w:vertAlign w:val="baseline"/>
          </w:rPr>
          <w:t>, 467 U.S. 752, 769, 104 S. Ct. 2731, 81 L. Ed. 2d 628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245 at 77 (citing </w:t>
      </w:r>
      <w:r>
        <w:rPr>
          <w:rFonts w:ascii="arial" w:eastAsia="arial" w:hAnsi="arial" w:cs="arial"/>
          <w:b w:val="0"/>
          <w:i w:val="0"/>
          <w:strike w:val="0"/>
          <w:noProof w:val="0"/>
          <w:color w:val="000000"/>
          <w:position w:val="0"/>
          <w:sz w:val="18"/>
          <w:u w:val="single"/>
          <w:vertAlign w:val="baseline"/>
        </w:rPr>
        <w:t>Copperweld</w:t>
      </w:r>
      <w:r>
        <w:rPr>
          <w:rFonts w:ascii="arial" w:eastAsia="arial" w:hAnsi="arial" w:cs="arial"/>
          <w:b w:val="0"/>
          <w:i w:val="0"/>
          <w:strike w:val="0"/>
          <w:noProof w:val="0"/>
          <w:color w:val="000000"/>
          <w:position w:val="0"/>
          <w:sz w:val="18"/>
          <w:u w:val="none"/>
          <w:vertAlign w:val="baseline"/>
        </w:rPr>
        <w:t xml:space="preserve"> and arguing that "[i]t is well settled that 'officers or employees of the same firm do not have the plurality of actors required for a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conspiracy");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Dkt. No. 513 (Mem.) at 10 ("Nor can there be any doubt that the downstream distribution Defendants (including the Southmill Distributors and Manfredini Enterprises) are to be viewed as single entities with their downstream distributors Kaolin and LRP-M under the </w:t>
      </w:r>
      <w:r>
        <w:rPr>
          <w:rFonts w:ascii="arial" w:eastAsia="arial" w:hAnsi="arial" w:cs="arial"/>
          <w:b w:val="0"/>
          <w:i w:val="0"/>
          <w:strike w:val="0"/>
          <w:noProof w:val="0"/>
          <w:color w:val="000000"/>
          <w:position w:val="0"/>
          <w:sz w:val="18"/>
          <w:u w:val="single"/>
          <w:vertAlign w:val="baseline"/>
        </w:rPr>
        <w:t>Copperweld</w:t>
      </w:r>
      <w:r>
        <w:rPr>
          <w:rFonts w:ascii="arial" w:eastAsia="arial" w:hAnsi="arial" w:cs="arial"/>
          <w:b w:val="0"/>
          <w:i w:val="0"/>
          <w:strike w:val="0"/>
          <w:noProof w:val="0"/>
          <w:color w:val="000000"/>
          <w:position w:val="0"/>
          <w:sz w:val="18"/>
          <w:u w:val="none"/>
          <w:vertAlign w:val="baseline"/>
        </w:rPr>
        <w:t xml:space="preserve"> Doctrine . . . ."). Following my decisions that </w:t>
      </w:r>
      <w:r>
        <w:rPr>
          <w:rFonts w:ascii="arial" w:eastAsia="arial" w:hAnsi="arial" w:cs="arial"/>
          <w:b w:val="0"/>
          <w:i w:val="0"/>
          <w:strike w:val="0"/>
          <w:noProof w:val="0"/>
          <w:color w:val="000000"/>
          <w:position w:val="0"/>
          <w:sz w:val="18"/>
          <w:u w:val="single"/>
          <w:vertAlign w:val="baseline"/>
        </w:rPr>
        <w:t>Copperweld</w:t>
      </w:r>
      <w:r>
        <w:rPr>
          <w:rFonts w:ascii="arial" w:eastAsia="arial" w:hAnsi="arial" w:cs="arial"/>
          <w:b w:val="0"/>
          <w:i w:val="0"/>
          <w:strike w:val="0"/>
          <w:noProof w:val="0"/>
          <w:color w:val="000000"/>
          <w:position w:val="0"/>
          <w:sz w:val="18"/>
          <w:u w:val="none"/>
          <w:vertAlign w:val="baseline"/>
        </w:rPr>
        <w:t xml:space="preserve"> does not immunize the EMMC or its members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r>
        <w:rPr>
          <w:rFonts w:ascii="arial" w:eastAsia="arial" w:hAnsi="arial" w:cs="arial"/>
          <w:b w:val="0"/>
          <w:i w:val="0"/>
          <w:strike w:val="0"/>
          <w:noProof w:val="0"/>
          <w:color w:val="000000"/>
          <w:position w:val="0"/>
          <w:sz w:val="18"/>
          <w:u w:val="single"/>
          <w:vertAlign w:val="baseline"/>
        </w:rPr>
        <w:t xml:space="preserve">see </w:t>
      </w:r>
      <w:bookmarkStart w:id="70" w:name="Bookmark_I5N6YFV42N1R180020000400"/>
      <w:bookmarkEnd w:id="70"/>
      <w:hyperlink r:id="rId2" w:history="1">
        <w:r>
          <w:rPr>
            <w:rFonts w:ascii="arial" w:eastAsia="arial" w:hAnsi="arial" w:cs="arial"/>
            <w:b w:val="0"/>
            <w:i/>
            <w:strike w:val="0"/>
            <w:noProof w:val="0"/>
            <w:color w:val="0077CC"/>
            <w:position w:val="0"/>
            <w:sz w:val="18"/>
            <w:u w:val="single"/>
            <w:vertAlign w:val="baseline"/>
          </w:rPr>
          <w:t>In re Mushroom</w:t>
        </w:r>
      </w:hyperlink>
      <w:hyperlink r:id="rId2" w:history="1">
        <w:r>
          <w:rPr>
            <w:rFonts w:ascii="arial" w:eastAsia="arial" w:hAnsi="arial" w:cs="arial"/>
            <w:b w:val="0"/>
            <w:i/>
            <w:strike w:val="0"/>
            <w:noProof w:val="0"/>
            <w:color w:val="0077CC"/>
            <w:position w:val="0"/>
            <w:sz w:val="18"/>
            <w:u w:val="single"/>
            <w:vertAlign w:val="baseline"/>
          </w:rPr>
          <w:t>, 621 F. Supp. 2d at 291</w:t>
        </w:r>
      </w:hyperlink>
      <w:r>
        <w:rPr>
          <w:rFonts w:ascii="arial" w:eastAsia="arial" w:hAnsi="arial" w:cs="arial"/>
          <w:b w:val="0"/>
          <w:i w:val="0"/>
          <w:strike w:val="0"/>
          <w:noProof w:val="0"/>
          <w:color w:val="000000"/>
          <w:position w:val="0"/>
          <w:sz w:val="18"/>
          <w:u w:val="none"/>
          <w:vertAlign w:val="baseline"/>
        </w:rPr>
        <w:t xml:space="preserve">; </w:t>
      </w:r>
      <w:bookmarkStart w:id="71" w:name="Bookmark_I5N6YFV42N1R180040000400"/>
      <w:bookmarkEnd w:id="71"/>
      <w:hyperlink r:id="rId5" w:history="1">
        <w:r>
          <w:rPr>
            <w:rFonts w:ascii="arial" w:eastAsia="arial" w:hAnsi="arial" w:cs="arial"/>
            <w:b w:val="0"/>
            <w:i/>
            <w:strike w:val="0"/>
            <w:noProof w:val="0"/>
            <w:color w:val="0077CC"/>
            <w:position w:val="0"/>
            <w:sz w:val="18"/>
            <w:u w:val="single"/>
            <w:vertAlign w:val="baseline"/>
          </w:rPr>
          <w:t>In re Mushroom</w:t>
        </w:r>
      </w:hyperlink>
      <w:hyperlink r:id="rId5" w:history="1">
        <w:r>
          <w:rPr>
            <w:rFonts w:ascii="arial" w:eastAsia="arial" w:hAnsi="arial" w:cs="arial"/>
            <w:b w:val="0"/>
            <w:i/>
            <w:strike w:val="0"/>
            <w:noProof w:val="0"/>
            <w:color w:val="0077CC"/>
            <w:position w:val="0"/>
            <w:sz w:val="18"/>
            <w:u w:val="single"/>
            <w:vertAlign w:val="baseline"/>
          </w:rPr>
          <w:t>, 54 F. Supp. 3d at 389</w:t>
        </w:r>
      </w:hyperlink>
      <w:r>
        <w:rPr>
          <w:rFonts w:ascii="arial" w:eastAsia="arial" w:hAnsi="arial" w:cs="arial"/>
          <w:b w:val="0"/>
          <w:i w:val="0"/>
          <w:strike w:val="0"/>
          <w:noProof w:val="0"/>
          <w:color w:val="000000"/>
          <w:position w:val="0"/>
          <w:sz w:val="18"/>
          <w:u w:val="none"/>
          <w:vertAlign w:val="baseline"/>
        </w:rPr>
        <w:t>, defendants no longer rely on the case in their reply or sur-reply. Dkt. No. 615; Dkt. No. 652. Accordingly, I do not revisit the case in this opinion.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8" w:name="Bookmark_fnpara_10"/>
      <w:bookmarkEnd w:id="108"/>
      <w:r>
        <w:rPr>
          <w:rFonts w:ascii="arial" w:eastAsia="arial" w:hAnsi="arial" w:cs="arial"/>
          <w:b w:val="0"/>
          <w:i w:val="0"/>
          <w:strike w:val="0"/>
          <w:noProof w:val="0"/>
          <w:color w:val="000000"/>
          <w:position w:val="0"/>
          <w:sz w:val="18"/>
          <w:u w:val="none"/>
          <w:vertAlign w:val="baseline"/>
        </w:rPr>
        <w:t xml:space="preserve">Also, after the parties briefed the present motion, I entered an order finding that the rule of reason is the appropriate mode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analysis for plaintiffs' price-fixing claim, while plaintiffs' supply control claim is subject to per se liability.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Nos. 670 and 671. So even if the Court of Appeals were to follow </w:t>
      </w:r>
      <w:r>
        <w:rPr>
          <w:rFonts w:ascii="arial" w:eastAsia="arial" w:hAnsi="arial" w:cs="arial"/>
          <w:b w:val="0"/>
          <w:i w:val="0"/>
          <w:strike w:val="0"/>
          <w:noProof w:val="0"/>
          <w:color w:val="000000"/>
          <w:position w:val="0"/>
          <w:sz w:val="18"/>
          <w:u w:val="single"/>
          <w:vertAlign w:val="baseline"/>
        </w:rPr>
        <w:t>Murphy</w:t>
      </w:r>
      <w:r>
        <w:rPr>
          <w:rFonts w:ascii="arial" w:eastAsia="arial" w:hAnsi="arial" w:cs="arial"/>
          <w:b w:val="0"/>
          <w:i w:val="0"/>
          <w:strike w:val="0"/>
          <w:noProof w:val="0"/>
          <w:color w:val="000000"/>
          <w:position w:val="0"/>
          <w:sz w:val="18"/>
          <w:u w:val="none"/>
          <w:vertAlign w:val="baseline"/>
        </w:rPr>
        <w:t xml:space="preserve"> and restrict individual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to per se claims, plaintiffs' supply control claims against Pia would remain.</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1" w:name="Bookmark_fnpara_11"/>
      <w:bookmarkEnd w:id="121"/>
      <w:r>
        <w:rPr>
          <w:rFonts w:ascii="arial" w:eastAsia="arial" w:hAnsi="arial" w:cs="arial"/>
          <w:b w:val="0"/>
          <w:i w:val="0"/>
          <w:strike w:val="0"/>
          <w:noProof w:val="0"/>
          <w:color w:val="000000"/>
          <w:position w:val="0"/>
          <w:sz w:val="18"/>
          <w:u w:val="single"/>
          <w:vertAlign w:val="baseline"/>
        </w:rPr>
        <w:t xml:space="preserve">See also </w:t>
      </w:r>
      <w:bookmarkStart w:id="122" w:name="Bookmark_I5N6YFV42N1R190020000400"/>
      <w:bookmarkEnd w:id="122"/>
      <w:r>
        <w:rPr>
          <w:rFonts w:ascii="arial" w:eastAsia="arial" w:hAnsi="arial" w:cs="arial"/>
          <w:b w:val="0"/>
          <w:i w:val="0"/>
          <w:strike w:val="0"/>
          <w:noProof w:val="0"/>
          <w:color w:val="000000"/>
          <w:position w:val="0"/>
          <w:sz w:val="18"/>
          <w:u w:val="single"/>
          <w:vertAlign w:val="baseline"/>
        </w:rPr>
        <w:t>Six W. Retail Acquisition, Inc. v. Sony Theatre Mgmt. Corp.</w:t>
      </w:r>
      <w:r>
        <w:rPr>
          <w:rFonts w:ascii="arial" w:eastAsia="arial" w:hAnsi="arial" w:cs="arial"/>
          <w:b w:val="0"/>
          <w:i w:val="0"/>
          <w:strike w:val="0"/>
          <w:noProof w:val="0"/>
          <w:color w:val="000000"/>
          <w:position w:val="0"/>
          <w:sz w:val="18"/>
          <w:u w:val="none"/>
          <w:vertAlign w:val="baseline"/>
        </w:rPr>
        <w:t xml:space="preserve">, No. 97-5499, 2000 WL 264295, at *35 (S.D.N.Y. Mar. 9, 2000) ("A corporate officer or director can be held personally liable for damages arising from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where he or she participated in the unlawful acts, or where he or she acquiesced or ratified the actions of other officers or agents of the corporation who violated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(citation omitted); .</w:t>
      </w:r>
      <w:bookmarkStart w:id="123" w:name="Bookmark_I5N6YFV42N1R190040000400"/>
      <w:bookmarkEnd w:id="123"/>
      <w:hyperlink r:id="rId7" w:history="1">
        <w:r>
          <w:rPr>
            <w:rFonts w:ascii="arial" w:eastAsia="arial" w:hAnsi="arial" w:cs="arial"/>
            <w:b w:val="0"/>
            <w:i/>
            <w:strike w:val="0"/>
            <w:noProof w:val="0"/>
            <w:color w:val="0077CC"/>
            <w:position w:val="0"/>
            <w:sz w:val="18"/>
            <w:u w:val="single"/>
            <w:vertAlign w:val="baseline"/>
          </w:rPr>
          <w:t>Cont'l Ortho. Appliances, Inc. v. Health Ins. Plan</w:t>
        </w:r>
      </w:hyperlink>
      <w:hyperlink r:id="rId7" w:history="1">
        <w:r>
          <w:rPr>
            <w:rFonts w:ascii="arial" w:eastAsia="arial" w:hAnsi="arial" w:cs="arial"/>
            <w:b w:val="0"/>
            <w:i/>
            <w:strike w:val="0"/>
            <w:noProof w:val="0"/>
            <w:color w:val="0077CC"/>
            <w:position w:val="0"/>
            <w:sz w:val="18"/>
            <w:u w:val="single"/>
            <w:vertAlign w:val="baseline"/>
          </w:rPr>
          <w:t>, 994 F. Supp. 133, 142 (E.D. N.Y. 1998)</w:t>
        </w:r>
      </w:hyperlink>
      <w:r>
        <w:rPr>
          <w:rFonts w:ascii="arial" w:eastAsia="arial" w:hAnsi="arial" w:cs="arial"/>
          <w:b w:val="0"/>
          <w:i w:val="0"/>
          <w:strike w:val="0"/>
          <w:noProof w:val="0"/>
          <w:color w:val="000000"/>
          <w:position w:val="0"/>
          <w:sz w:val="18"/>
          <w:u w:val="none"/>
          <w:vertAlign w:val="baseline"/>
        </w:rPr>
        <w:t xml:space="preserve"> (finding on a motion to dismiss that the plaintiffs had sufficiently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against the individual defendants where the complaint alleged "that the individual defendants held meetings at various times at which they agreed to rig bids, communicated with each other to carry out their illegal scheme, [and] authorized and participated in the conspiracy . . .").</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1" w:name="Bookmark_fnpara_12"/>
      <w:bookmarkEnd w:id="131"/>
      <w:r>
        <w:rPr>
          <w:rFonts w:ascii="arial" w:eastAsia="arial" w:hAnsi="arial" w:cs="arial"/>
          <w:b w:val="0"/>
          <w:i w:val="0"/>
          <w:strike w:val="0"/>
          <w:noProof w:val="0"/>
          <w:color w:val="000000"/>
          <w:position w:val="0"/>
          <w:sz w:val="18"/>
          <w:u w:val="none"/>
          <w:vertAlign w:val="baseline"/>
        </w:rPr>
        <w:t xml:space="preserve">Here, "certain defendants" are: the Eastern Mushroom Marketing Cooperative (EMMC), Robert A. Feranto, Jr., t/a Bella Mushroom Farms; Brownstone Mushroom Farms, Inc.; Brownstone Farms, Inc.; Brownstone Mushroom Farm; To-Jo Fresh Mushrooms, Inc.; Country Fresh Mushroom Co.; Gino Gaspari &amp; Sons, Inc.; Gaspari Mushroom Co., Inc.; Gaspari Bros., Inc.; Kaolin Mushroom Farms, Inc.; South Mill Mushroom Farms, Inc.; South Mill Mushroom Sales, Inc.; Sher-Rockee Mushroom Farm, LLC; C&amp;C Carriage Mushroom Co.; Oakshire Mushroom Farm, Inc.; Phillips Mushroom Farms, Inc.; Louis M. Marson Jr., Inc.; Monterey Mushrooms, Inc.; John Pia; and Michael Pia.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513 (Mot.) at 3; Dkt. No. 513 (Mem.) at 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Mushroom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1P-R5S1-F04F-40P3-00000-00&amp;context=" TargetMode="External" /><Relationship Id="rId11" Type="http://schemas.openxmlformats.org/officeDocument/2006/relationships/hyperlink" Target="https://advance.lexis.com/api/document?collection=cases&amp;id=urn:contentItem:5MXY-3T01-F04F-41FN-00000-00&amp;context=" TargetMode="External" /><Relationship Id="rId12" Type="http://schemas.openxmlformats.org/officeDocument/2006/relationships/hyperlink" Target="https://advance.lexis.com/api/document?collection=cases&amp;id=urn:contentItem:5N1P-R5S1-F04F-40P3-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2421-6N19-F165-00000-00&amp;context=" TargetMode="External" /><Relationship Id="rId15" Type="http://schemas.openxmlformats.org/officeDocument/2006/relationships/hyperlink" Target="https://advance.lexis.com/api/document?collection=cases&amp;id=urn:contentItem:5N1P-R5S1-F04F-40P3-00000-00&amp;context=&amp;link=LNHNREFclscc2" TargetMode="External" /><Relationship Id="rId16" Type="http://schemas.openxmlformats.org/officeDocument/2006/relationships/hyperlink" Target="https://advance.lexis.com/api/document?collection=cases&amp;id=urn:contentItem:5N1P-R5S1-F04F-40P3-00000-00&amp;context=&amp;link=LNHNREFclscc3" TargetMode="External" /><Relationship Id="rId17" Type="http://schemas.openxmlformats.org/officeDocument/2006/relationships/hyperlink" Target="https://advance.lexis.com/api/document?collection=statutes-legislation&amp;id=urn:contentItem:4YF7-GNT1-NRF4-426N-00000-00&amp;context=" TargetMode="External" /><Relationship Id="rId18" Type="http://schemas.openxmlformats.org/officeDocument/2006/relationships/hyperlink" Target="https://advance.lexis.com/api/document?collection=statutes-legislation&amp;id=urn:contentItem:5C9D-VND0-01XN-S30Y-00000-00&amp;context=" TargetMode="External" /><Relationship Id="rId19" Type="http://schemas.openxmlformats.org/officeDocument/2006/relationships/hyperlink" Target="https://advance.lexis.com/api/document?collection=statutes-legislation&amp;id=urn:contentItem:4YF7-GN51-NRF4-413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VYK-MT70-TXFR-P2G2-00000-00&amp;context=" TargetMode="External" /><Relationship Id="rId21" Type="http://schemas.openxmlformats.org/officeDocument/2006/relationships/hyperlink" Target="https://advance.lexis.com/api/document?collection=cases&amp;id=urn:contentItem:5DC4-2J51-F04F-407F-00000-00&amp;context=" TargetMode="External" /><Relationship Id="rId22" Type="http://schemas.openxmlformats.org/officeDocument/2006/relationships/hyperlink" Target="https://advance.lexis.com/api/document?collection=cases&amp;id=urn:contentItem:5N1P-R5S1-F04F-40P3-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464T-CXS0-0038-Y47G-00000-00&amp;context=" TargetMode="External" /><Relationship Id="rId25" Type="http://schemas.openxmlformats.org/officeDocument/2006/relationships/hyperlink" Target="https://advance.lexis.com/api/document?collection=cases&amp;id=urn:contentItem:498V-C7B0-0038-X450-00000-00&amp;context=" TargetMode="External" /><Relationship Id="rId26" Type="http://schemas.openxmlformats.org/officeDocument/2006/relationships/hyperlink" Target="https://advance.lexis.com/api/document?collection=cases&amp;id=urn:contentItem:3S4X-6HC0-0039-N37R-00000-00&amp;context=" TargetMode="External" /><Relationship Id="rId27" Type="http://schemas.openxmlformats.org/officeDocument/2006/relationships/hyperlink" Target="https://advance.lexis.com/api/document?collection=cases&amp;id=urn:contentItem:3S4X-6H80-0039-N37M-00000-00&amp;context=" TargetMode="External" /><Relationship Id="rId28" Type="http://schemas.openxmlformats.org/officeDocument/2006/relationships/hyperlink" Target="https://advance.lexis.com/api/document?collection=cases&amp;id=urn:contentItem:5KTK-76G1-F04F-4085-00000-00&amp;context=" TargetMode="External" /><Relationship Id="rId29" Type="http://schemas.openxmlformats.org/officeDocument/2006/relationships/hyperlink" Target="https://advance.lexis.com/api/document?collection=cases&amp;id=urn:contentItem:3S4V-NF90-0054-62C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1P-R5S1-F04F-40P3-00000-00&amp;context=&amp;link=clscc2" TargetMode="External" /><Relationship Id="rId31" Type="http://schemas.openxmlformats.org/officeDocument/2006/relationships/hyperlink" Target="https://advance.lexis.com/api/document?collection=cases&amp;id=urn:contentItem:3S4X-9850-0039-P3GY-00000-00&amp;context=" TargetMode="External" /><Relationship Id="rId32" Type="http://schemas.openxmlformats.org/officeDocument/2006/relationships/hyperlink" Target="https://advance.lexis.com/api/document?collection=cases&amp;id=urn:contentItem:3S4N-F200-0054-72XF-00000-00&amp;context=" TargetMode="External" /><Relationship Id="rId33" Type="http://schemas.openxmlformats.org/officeDocument/2006/relationships/hyperlink" Target="https://advance.lexis.com/api/document?collection=cases&amp;id=urn:contentItem:5N1P-R5S1-F04F-40P3-00000-00&amp;context=&amp;link=clscc3" TargetMode="External" /><Relationship Id="rId34" Type="http://schemas.openxmlformats.org/officeDocument/2006/relationships/hyperlink" Target="https://advance.lexis.com/api/document?collection=cases&amp;id=urn:contentItem:3S4X-8PW0-003B-S1BT-00000-00&amp;context=" TargetMode="External" /><Relationship Id="rId35" Type="http://schemas.openxmlformats.org/officeDocument/2006/relationships/hyperlink" Target="https://advance.lexis.com/api/document?collection=cases&amp;id=urn:contentItem:539X-7MN1-JCNC-M0C5-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05-R5K1-DXC8-72X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hyperlink" Target="https://advance.lexis.com/api/document?collection=cases&amp;id=urn:contentItem:4VYK-MT70-TXFR-P2G2-00000-00&amp;context=" TargetMode="External" /><Relationship Id="rId3" Type="http://schemas.openxmlformats.org/officeDocument/2006/relationships/hyperlink" Target="https://advance.lexis.com/api/document?collection=statutes-legislation&amp;id=urn:contentItem:5C9D-VND0-01XN-S30Y-00000-00&amp;context=" TargetMode="External" /><Relationship Id="rId4" Type="http://schemas.openxmlformats.org/officeDocument/2006/relationships/hyperlink" Target="https://advance.lexis.com/api/document?collection=cases&amp;id=urn:contentItem:8319-HT81-652R-10YS-00000-00&amp;context=" TargetMode="External" /><Relationship Id="rId5" Type="http://schemas.openxmlformats.org/officeDocument/2006/relationships/hyperlink" Target="https://advance.lexis.com/api/document?collection=cases&amp;id=urn:contentItem:5DC4-2J51-F04F-407F-00000-00&amp;context=" TargetMode="External" /><Relationship Id="rId6" Type="http://schemas.openxmlformats.org/officeDocument/2006/relationships/hyperlink" Target="https://advance.lexis.com/api/document?collection=cases&amp;id=urn:contentItem:3S4X-3C80-003B-S323-00000-00&amp;context=" TargetMode="External" /><Relationship Id="rId7" Type="http://schemas.openxmlformats.org/officeDocument/2006/relationships/hyperlink" Target="https://advance.lexis.com/api/document?collection=cases&amp;id=urn:contentItem:3S2B-P930-0038-Y01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Airline Travel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