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2"/>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7:15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Qualcomm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Judicial Panel On Multidistrict Litigation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5,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MDL No. 2773</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273 F. Supp. 3d 1373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Dist. LEXIS 52784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2017-1 Trade Cas. (CCH) P79,951</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1282907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QUALCOMM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Motion granted by, in part, Motion denied by, in part, Motion denied by </w:t>
      </w:r>
      <w:hyperlink r:id="rId11" w:history="1">
        <w:r>
          <w:rPr>
            <w:rFonts w:ascii="arial" w:eastAsia="arial" w:hAnsi="arial" w:cs="arial"/>
            <w:b w:val="0"/>
            <w:i/>
            <w:strike w:val="0"/>
            <w:noProof w:val="0"/>
            <w:color w:val="0077CC"/>
            <w:position w:val="0"/>
            <w:sz w:val="20"/>
            <w:u w:val="single"/>
            <w:vertAlign w:val="baseline"/>
          </w:rPr>
          <w:t xml:space="preserve">In re Qualcomm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2017 U.S. Dist. LEXIS 83492 (N.D. Cal., May 15,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centralization, license, parties, patent, </w:t>
      </w:r>
      <w:r>
        <w:rPr>
          <w:rFonts w:ascii="arial" w:eastAsia="arial" w:hAnsi="arial" w:cs="arial"/>
          <w:b/>
          <w:i/>
          <w:strike w:val="0"/>
          <w:noProof w:val="0"/>
          <w:color w:val="000000"/>
          <w:position w:val="0"/>
          <w:sz w:val="20"/>
          <w:u w:val="single"/>
          <w:vertAlign w:val="baseline"/>
        </w:rPr>
        <w:t>antitrust</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 xml:space="preserve">HOLDINGS: [1]-Pursuant to </w:t>
      </w:r>
      <w:hyperlink r:id="rId12" w:history="1">
        <w:r>
          <w:rPr>
            <w:rFonts w:ascii="arial" w:eastAsia="arial" w:hAnsi="arial" w:cs="arial"/>
            <w:b w:val="0"/>
            <w:i/>
            <w:strike w:val="0"/>
            <w:noProof w:val="0"/>
            <w:color w:val="0077CC"/>
            <w:position w:val="0"/>
            <w:sz w:val="20"/>
            <w:u w:val="single"/>
            <w:vertAlign w:val="baseline"/>
          </w:rPr>
          <w:t>28 U.S.C.S. § 1407</w:t>
        </w:r>
      </w:hyperlink>
      <w:r>
        <w:rPr>
          <w:rFonts w:ascii="arial" w:eastAsia="arial" w:hAnsi="arial" w:cs="arial"/>
          <w:b w:val="0"/>
          <w:i w:val="0"/>
          <w:strike w:val="0"/>
          <w:noProof w:val="0"/>
          <w:color w:val="000000"/>
          <w:position w:val="0"/>
          <w:sz w:val="20"/>
          <w:u w:val="none"/>
          <w:vertAlign w:val="baseline"/>
        </w:rPr>
        <w:t>, actions involving patent licensing issues were centralized and transferred to the Northern District of California because the actions involved common questions of fact, and centralization would serve the convenience of the parties and witnesses and promote efficient conduct of the litigation; [2]-One of the listed actions was not appropriate to be included in the multi-district litigation because it asserted unique contract and patent claims and could significantly complicate the proceedings and cause delay or other inefficiencies.</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All actions, with one exception, ordered centralized and transferred to Northern District of California.</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Contract Conditions &amp; Provisions &gt; Forum Selection Clauses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Venue &gt; Multidistrict Litigation</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Contract Conditions &amp; Provisions, Forum Selection Clauses</w:t>
      </w:r>
    </w:p>
    <w:p>
      <w:pPr>
        <w:keepNext w:val="0"/>
        <w:widowControl w:val="0"/>
        <w:spacing w:before="240" w:after="0" w:line="260" w:lineRule="atLeast"/>
        <w:ind w:left="0" w:right="0" w:firstLine="0"/>
        <w:jc w:val="both"/>
      </w:pPr>
      <w:bookmarkStart w:id="11" w:name="Bookmark_hnpara_1"/>
      <w:bookmarkEnd w:id="11"/>
      <w:r>
        <w:rPr>
          <w:rFonts w:ascii="arial" w:eastAsia="arial" w:hAnsi="arial" w:cs="arial"/>
          <w:b w:val="0"/>
          <w:i w:val="0"/>
          <w:strike w:val="0"/>
          <w:noProof w:val="0"/>
          <w:color w:val="000000"/>
          <w:position w:val="0"/>
          <w:sz w:val="20"/>
          <w:u w:val="none"/>
          <w:vertAlign w:val="baseline"/>
        </w:rPr>
        <w:t xml:space="preserve">Forum selection clauses do not limit the Multidistrict Panel's authority under </w:t>
      </w:r>
      <w:hyperlink r:id="rId12" w:history="1">
        <w:r>
          <w:rPr>
            <w:rFonts w:ascii="arial" w:eastAsia="arial" w:hAnsi="arial" w:cs="arial"/>
            <w:b w:val="0"/>
            <w:i/>
            <w:strike w:val="0"/>
            <w:noProof w:val="0"/>
            <w:color w:val="0077CC"/>
            <w:position w:val="0"/>
            <w:sz w:val="20"/>
            <w:u w:val="single"/>
            <w:vertAlign w:val="baseline"/>
          </w:rPr>
          <w:t>28 U.S.C.S. § 1407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bookmarkStart w:id="12" w:name="Counsel"/>
      <w:bookmarkEnd w:id="12"/>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For Jordie Bornstein (5:17cv234), Plaintiff: Bonny E. Sweeney, Hausfeld LLP, San Francisco, CA; Bruce J. Wecker, Hausfeld LLP, San Francisco, CA; Daniel B. Rehns, PRO HAC VICE, Cohen Milstein Sellers &amp; Toll PLLC, New York, NY; Michael D. Hausfeld, PRO HAC VICE, Hausfeld LLP, Washington, DC; Michael Paul Lehmann, Hausfeld LLP, San Francisco, CA; Samantha J Stein, Hausfeld, LLP, San Francisco, CA; Christopher L. Lebsock, Hausfeld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Cordt Byrne (5:17cv234), Plaintiff: Bonny E. Sweeney, Hausfeld LLP, San Francisco, CA; Bruce J. Wecker, Hausfeld LLP, San Francisco, CA; Daniel B. Rehns, PRO HAC VICE, Cohen Milstein Sellers &amp; Toll PLLC, New York, NY; Michael D. Hausfeld, PRO HAC VICE, Hausfeld LLP, Washington, DC; Michael Paul Lehmann, Hausfeld LLP, San Francisco, CA; Samantha J Stein, Hausfeld, LLP, San Francisco, CA; Christopher L. Lebsock, Hausfeld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Elliot Carter (5:17cv234), Plaintiff: Bonny E. Sweeney, Hausfeld LLP, San Francisco, CA; Bruce J. Wecker, Hausfeld LLP, San Francisco, CA; Daniel B. Rehns, PRO HAC VICE, Cohen Milstein Sellers &amp; Toll PLLC, New York, NY; Michael D. Hausfeld, PRO HAC VICE, Hausfeld LLP, Washington, DC; Michael Paul Lehmann, Hausfeld LLP, San Francisco, CA; Samantha J Stein, Hausfeld, LLP, San Francisco, CA; Christopher L. Lebsock, Hausfeld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 Ciotti (5:17cv234), Plaintiff: Bonny E. Sweeney, Hausfeld LLP, San Francisco, CA; Bruce J. Wecker, Hausfeld LLP, San Francisco, CA; Daniel B. Rehns, PRO HAC VICE, Cohen Milstein Sellers &amp; Toll PLLC, New York, NY; Michael D. Hausfeld, PRO HAC VICE, Hausfeld LLP, Washington, DC; Michael Paul Lehmann, Hausfeld LLP, San Francisco, CA; Samantha J Stein, Hausfeld, LLP, San Francisco, CA; Christopher L. Lebsock, Hausfeld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Dwight Dickerson (5:17cv234), Plaintiff: Bonny E. Sweeney, Hausfeld LLP, San Francisco, CA; Bruce J. Wecker, Hausfeld LLP, San Francisco, CA; Daniel B. Rehns, PRO HAC VICE, Cohen Milstein Sellers &amp; Toll PLLC, New York, NY; Michael D. Hausfeld, PRO HAC VICE, Hausfeld LLP, Washington, DC; Michael Paul Lehmann, Hausfeld LLP, San Francisco, CA; Samantha J Stein, Hausfeld, LLP, San Francisco, CA; Christopher L. Lebsock, Hausfeld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Matthew Christianson (5:17cv234), Plaintiff: Bonny E. Sweeney, Hausfeld LLP, San Francisco, CA; Bruce J. Wecker, Hausfeld LLP, San Francisco, CA; Daniel B. Rehns, PRO HAC VICE, Cohen Milstein Sellers &amp; Toll PLLC, New York, NY; Michael D. Hausfeld, PRO HAC VICE, Hausfeld LLP, Washington, DC; Michael Paul Lehmann, Hausfeld LLP, San Francisco, CA; Samantha J Stein, Hausfeld, LLP, San Francisco, CA; Christopher L. Lebsock, Hausfeld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Logan Griesemer (5:17cv234), Plaintiff: Bonny E. Sweeney, Hausfeld LLP, San Francisco, CA; Bruce J. Wecker, Hausfeld LLP, San Francisco, CA; Daniel B. Rehns, PRO HAC VICE, Cohen Milstein Sellers &amp; Toll PLLC, New York, NY; Michael D. Hausfeld, PRO HAC VICE, Hausfeld LLP, Washington, DC; Michael Paul Lehmann, Hausfeld LLP, San Francisco, CA; Samantha J Stein, Hausfeld, LLP, San Francisco, CA; Christopher L. Lebsock, Hausfeld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Ryan Hart (5:17cv234), Plaintiff: Bonny E. Sweeney, Hausfeld LLP, San Francisco, CA; Bruce J. Wecker, Hausfeld LLP, San Francisco, CA; Daniel B. Rehns, PRO HAC VICE, Cohen Milstein Sellers &amp; Toll PLLC, New York, NY; Michael D. Hausfeld, PRO HAC VICE, Hausfeld LLP, Washington, DC; Michael Paul Lehmann, Hausfeld LLP, San Francisco, CA; Samantha J Stein, Hausfeld, LLP, San Francisco, CA; Christopher L. Lebsock, Hausfeld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Horton (5:17cv234), Plaintiff: Bonny E. Sweeney, Hausfeld LLP, San Francisco, CA; Bruce J. Wecker, Hausfeld LLP, San Francisco, CA; Daniel B. Rehns, PRO HAC VICE, Cohen Milstein Sellers &amp; Toll PLLC, New York, NY; Michael D. Hausfeld, PRO HAC VICE, Hausfeld LLP, Washington, DC; Michael Paul Lehmann, Hausfeld LLP, San Francisco, CA; Samantha J Stein, Hausfeld, LLP, San Francisco, CA; Christopher L. Lebsock, Hausfeld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 Krug (5:17cv234), Plaintiff: Bonny E. Sweeney, Hausfeld LLP, San Francisco, CA; Bruce J. Wecker, Hausfeld LLP, San Francisco, CA; Daniel B. Rehns, PRO HAC VICE, Cohen Milstein Sellers &amp; Toll PLLC, New York, NY; Michael D. Hausfeld, PRO HAC VICE, Hausfeld LLP, Washington, DC; Michael Paul Lehmann, Hausfeld LLP, San Francisco, CA; Samantha J Stein, Hausfeld, LLP, San Francisco, CA; Christopher L. Lebsock, Hausfeld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Gail Margolis (5:17cv234), Plaintiff: Bonny E. Sweeney, Hausfeld LLP, San Francisco, CA; Bruce J. Wecker, Hausfeld LLP, San Francisco, CA; Daniel B. Rehns, PRO HAC VICE, Cohen Milstein Sellers &amp; Toll PLLC, New York, NY; Michael D. Hausfeld, PRO HAC VICE, Hausfeld LLP, Washington, DC; Michael Paul Lehmann, Hausfeld LLP, San Francisco, CA; Samantha J Stein, Hausfeld, LLP, San Francisco, CA; Christopher L. Lebsock, Hausfeld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Kate Mortensen (5:17cv234), Plaintiff: Bonny E. Sweeney, Hausfeld LLP, San Francisco, CA; Bruce J. Wecker, Hausfeld LLP, San Francisco, CA; Daniel B. Rehns, PRO HAC VICE, Cohen Milstein Sellers &amp; Toll PLLC, New York, NY; Michael D. Hausfeld, PRO HAC VICE, Hausfeld LLP, Washington, DC; Michael Paul Lehmann, Hausfeld LLP, San Francisco, CA; Samantha J Stein, Hausfeld, LLP, San Francisco, CA; Christopher L. Lebsock, Hausfeld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Alyssa Nee (5:17cv234), Plaintiff: Bonny E. Sweeney, Hausfeld LLP, San Francisco, CA; Bruce J. Wecker, Hausfeld LLP, San Francisco, CA; Daniel B. Rehns, PRO HAC VICE, Cohen Milstein Sellers &amp; Toll PLLC, New York, NY; Michael D. Hausfeld, PRO HAC VICE, Hausfeld LLP, Washington, DC; Michael Paul Lehmann, Hausfeld LLP, San Francisco, CA; Samantha J Stein, Hausfeld, LLP, San Francisco, CA; Christopher L. Lebsock, Hausfeld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Whalen (5:17cv234), Plaintiff: Bonny E. Sweeney, Hausfeld LLP, San Francisco, CA; Bruce J. Wecker, Hausfeld LLP, San Francisco, CA; Daniel B. Rehns, PRO HAC VICE, Cohen Milstein Sellers &amp; Toll PLLC, New York, NY; Michael D. Hausfeld, PRO HAC VICE, Hausfeld LLP, Washington, DC; Michael Paul Lehmann, Hausfeld LLP, San Francisco, CA; Samantha J Stein, Hausfeld, LLP, San Francisco, CA; Christopher L. Lebsock, Hausfeld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Stephan Farid Wozniak (5:17cv234), Plaintiff: Bonny E. Sweeney, Hausfeld LLP, San Francisco, CA; Bruce J. Wecker, Hausfeld LLP, San Francisco, CA; Daniel B. Rehns, PRO HAC VICE, Cohen Milstein Sellers &amp; Toll PLLC, New York, NY; Michael D. Hausfeld, PRO HAC VICE, Hausfeld LLP, Washington, DC; Michael Paul Lehmann, Hausfeld LLP, San Francisco, CA; Samantha J Stein, Hausfeld, LLP, San Francisco, CA; Christopher L. Lebsock, Hausfeld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Zayas-Bazan (5:17cv234), Plaintiff: Bonny E. Sweeney, Hausfeld LLP, San Francisco, CA; Bruce J. Wecker, Hausfeld LLP, San Francisco, CA; Daniel B. Rehns, PRO HAC VICE, Cohen Milstein Sellers &amp; Toll PLLC, New York, NY; Michael D. Hausfeld, PRO HAC VICE, Hausfeld LLP, Washington, DC; Michael Paul Lehmann, Hausfeld LLP, San Francisco, CA; Samantha J Stein, Hausfeld, LLP, San Francisco, CA; Christopher L. Lebsock, Hausfeld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Qualcomm Incorporated (5:17cv234), Defendant: David Wade Rizk, LEAD ATTORNEY, Keker and Van Nest Peters LLP, San Francisco, CA; Robert Addy Van Nest, LEAD ATTORNEY, Keker, Van Nest &amp; Peters LLP, San Francisco, CA; Asim M. Bhansali, Keker, Van Nest &amp; Peters LLP, San Francisco, CA; Eugene Morris Paige, Keker &amp; Van Nest Peters LLP, San Francisco, CA; Justina Kahn Sessions, Keker, Van Nest &amp; Peters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Karen Stromberg (5:17cv304), Plaintiff: Jeffrey Greg Lewis, Keller Rohrback L.L.P.,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Samuel Roecker (5:17cv304), Plaintiff: Jeffrey Greg Lewis, Keller Rohrback L.L.P.,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Lammel (5:17cv304), Plaintiff: Jeffrey Greg Lewis, Keller Rohrback L.L.P.,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Mary Galloway (5:17cv304), Plaintiff: Jeffrey Greg Lewis, Keller Rohrback L.L.P.,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Danielle Lagrave (5:17cv304), Plaintiff: Jeffrey Greg Lewis, Keller Rohrback L.L.P.,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Qualcomm Incorporated (5:17cv304), Defendant: Robert Addy Van Nest, LEAD ATTORNEY, Keker, Van Nest &amp; Peters LLP, San Francisco, CA; Asim M. Bhansali, Keker, Van Nest &amp; Peters LLP, San Francisco, CA; David Wade Rizk, Keker and Van Nest Peters LLP, San Francisco, CA Eugene Morris Paige, Keker &amp; Van Nest Peters LLP, San Francisco, CA; Justina Kahn Sessions, Keker, Van Nest &amp; Peters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Mcmahon (5:17cv372), Plaintiff: Jeff D Friedman, LEAD ATTORNEY, Hagens Berman Sobol Shapiro LLP, Berkeley, CA; Mark P. Robinson, Jr., Robinson Calcagnie Inc., Newport Beach, CA; Shana E. Scarlett, Hagens Berman Sobol Shapiro LLP, Berkeley, CA; Steve W. Berman, PRO HAC VICE Hagens Berman Sobol Shapiro LLP, Seattle, WA; Robert Addy Van Nest, LEAD ATTORNEY, Keker, Van Nest &amp; Peters LLP, San Francisco, CA; Asim M. Bhansali, Keker, Van Nest &amp; Peters LLP, San Francisco, CA; David Wade Rizk, Keker and Van Nest Peters LLP, San Francisco, CA; Eugene Morris Paige, Keker &amp; Van Nest Peters LLP, San Francisco, CA; Justina Kahn Sessions, Keker, Van Nest &amp; Peters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Boardsports School Llc (5:17cv398), Plaintiff: Lesley Elizabeth Weaver, LEAD ATTORNEY, Bleichmar Fonti &amp; Auld LLP, Oakland, CA; Britt Ann Cibulka, Bleichmar Fonti &amp; Auld, LLP, Oakland, CA; Mili G Desai, Bleichmar Fonti &amp; Auld LLP, Oakland, CA; Robyn Rose English, PRO HAC VICE, Bleichmar Fonti and Auld,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Qualcomm Incorporated (5:17cv398), Defendant: Robert Addy Van Nest, LEAD ATTORNEY, Keker, Van Nest &amp; Peters LLP, San Francisco, CA; Asim M. Bhansali, Keker, Van Nest &amp; Peters LLP, San Francisco, CA; David Wade Rizk, Keker and Van Nest Peters LLP, San Francisco, CA; Eugene Morris Paige, Keker &amp; Van Nest Peters LLP, San Francisco, CA; Justina Kahn Sessions, Keker, Van Nest &amp; Peters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Rachel L. Miller (3:17cv147), Plaintiff: Christopher M. Burke, LEAD ATTORNEY, Scott + Scott LLP, San Diego, CA; Joseph P. Guglielmo, LEAD ATTORNEY, PRO HAC VICE, Scott+Scott, Attorneys at Law, LLP, New York, NY; Walter W. Noss, LEAD ATTORNEY, ScottScott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Qualcomm Incorporated (3:17cv147), Defendant: Asim M. Bhansali, LEAD ATTORNEY, Keker, Van Nest &amp; Peters LLP, San Francisco, CA; David W Rizk, LEAD ATTORNEY, Keker &amp; Van Nest, San Francisco, CA; Eugene Morris Paige, LEAD ATTORNEY, Keker &amp; Van Nest LLP, San Francisco, CA; Justina Kahn Sessions, LEAD ATTORNEY, Keker, Van Nest &amp; Peters LLP, San Francisco, CA; Robert A. Van Nest, LEAD ATTORNEY, Keker, Van Nest &amp; Peters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Michelle Mackay (3:17cv148), Plaintiff: Jason S Hartley, LEAD ATTORNEY, Stueve Siegel Hanson,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Colleen Sparke (3:17cv148), Plaintiff: Jason S Hartley, LEAD ATTORNEY, Stueve Siegel Hanson,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Janet Silverness (3:17cv148), Plaintiff: Jason S Hartley, LEAD ATTORNEY, Stueve Siegel Hanson,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Melanie Barclay (3:17cv148), Plaintiff: Jason S Hartley, LEAD ATTORNEY, Stueve Siegel Hanson,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Tiffany Ringo (3:17cv148), Plaintiff: Jason S Hartley, LEAD ATTORNEY, Stueve Siegel Hanson,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Hallie Lingo (3:17cv148), Plaintiff: Jason S Hartley, LEAD ATTORNEY, Stueve Siegel Hanson,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Crystal Hohenthaner (3:17cv148), Plaintiff: Jason S Hartley, LEAD ATTORNEY, Stueve Siegel Hanson,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 K. Brendtro (3:17cv148), Plaintiff: Jason S Hartley, LEAD ATTORNEY, Stueve Siegel Hanson,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 Delier (3:17cv148), Plaintiff: Jason S Hartley, LEAD ATTORNEY, Stueve Siegel Hanson,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Nelson (3:17cv148), Plaintiff: Jason S Hartley, LEAD ATTORNEY, Stueve Siegel Hanson,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Catherine Kaderavek (3:17cv148), Plaintiff: Jason S Hartley, LEAD ATTORNEY, Stueve Siegel Hanson,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Karen Carlet (3:17cv148), Plaintiff: Jason S Hartley, LEAD ATTORNEY, Stueve Siegel Hanson,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Waring (3:17cv148), Plaintiff: Jason S Hartley, LEAD ATTORNEY, Stueve Siegel Hanson,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Leon Theodore Lipka III (3:17cv148), Plaintiff: Jason S Hartley, LEAD ATTORNEY, Stueve Siegel Hanson,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Qualcomm Incorporated (3:17cv148), Defendant: Asim M. Bhansali, LEAD ATTORNEY, Keker, Van Nest &amp; Peters LLP, San Francisco, CA; David W Rizk, LEAD ATTORNEY, Keker &amp; Van Nest, San Francisco, CA; Eugene Morris Paige, LEAD ATTORNEY, Keker &amp; Van Nest LLP, San Francisco, CA; Justina Kahn Sessions, LEAD ATTORNEY, Keker, Van Nest &amp; Peters LLP, San Francisco, CA; Robert A. Van Nest, LEAD ATTORNEY, Keker, Van Nest &amp; Peters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Apple Inc. (3:17cv108), Plaintiff: Aamir A Kazi, LEAD ATTORNEY, PRO HAC VICE, Fish &amp; Richardson, P.C., Atlanta, GA; Amy J Mauser, LEAD ATTORNEY, PRO HAC VICE, Boies, Schiller &amp; Flexner LLP, Washington, DC; Benjamin C. Elacqua, LEAD ATTORNEY, PRO HAC VICE, Fish &amp; Richardson P.C., Housotn, TX; Christopher George Renner, LEAD ATTORNEY, PRO HAC VICE, Boies, Schiller &amp; Flexner LLP, Washington, DC; Juanita R Brooks, LEAD ATTORNEY, Fish and Richardson, San Diego, CA; Karen L. Dunn, LEAD ATTORNEY, PRO HAC VICE, Boies, Schiller &amp; Flexner LLP, Washington, DC; Lauren A. Degnan, LEAD ATTORNEY, PRO HAC VICE, Fish &amp; Richardson PC, Washington, DC; Leah Adine Edelman, LEAD ATTORNEY, PRO HAC VICE, Fish &amp; Richardson PC, Washington, DC; Ruffin B. Cordell, LEAD ATTORNEY, PRO HAC VICE, Fish and Richardson, P.C., Washington, DC; William A. Isaacson, LEAD ATTORNEY, PRO HAC VICE, Boies, Schiller &amp; Flexner LLP, Washington, DC; Betty Hong Chen, Fish &amp; Richardson PC, Redwood City, CA; Gabriel R. Schlabach, Boies, Schiller &amp; Flexner LLP, Oakland, CA; Meredith R. Dearborn, Boies Schiller &amp; Flexner LLP, Oakland, CA; Steven C Holtzman, Boies Schiller and Flexner, Oakland, CA; Alexander Rudis, LEAD ATTORNEY, PRO HAC VICE, Quinn Emanual Urquhart Oliver &amp; Hedges, New York, NY; David Aaron Nelson, LEAD ATTORNEY, PRO HAC VICE, Quinn Emanuel Urquhart &amp; Sullivan LLP, Chicago, IL; Evan R Chesler, LEAD ATTORNEY, PRO HAC VICE, Cravath Swaine and Moore LLP, New York, NY; Gary Bornstein, LEAD ATTORNEY, PRO HAC VICE, Cravath Swain &amp; Moore LLP, New York, NY; J Wesley Earnhardt, LEAD ATTORNEY, PRO HAC VICE, Cravath Swaine &amp; Moore LLP, New York, NY; Karen P. Hewitt, LEAD ATTORNEY, Jones Day, San Diego, CA; Keith Hummel, LEAD ATTORNEY, PRO HAC VICE, Cravath, Swaine &amp; Moore LLP, New York, NY; Randall E. Kay, LEAD ATTORNEY, Jones Day, San Diego, CA; Richard J Stark, LEAD ATTORNEY, PRO HAC VICE, Cravath Swaine and Moore, New York, NY; Stephen Andrew Swedlow, LEAD ATTORNEY, PRO HAC VICE, Quinn Emanuel Urquhart &amp; Sullivan LLP, Chicago, IL; Vanessa A. Lavely, LEAD ATTORNEY, PRO HAC VICE, Cravath Swain &amp; Moore LLP, New York, NY; Yonatan Even, LEAD ATTORNEY, PRO HAC VICE, Cravath Swaine &amp; Moore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Qualcomm Incorporated (3:17cv108), Counter Claimant: Alexander Rudis, LEAD ATTORNEY, Quinn Emanual Urquhart Oliver &amp; Hedges, New York, NY; David Aaron Nelson, LEAD ATTORNEY, Quinn Emanuel Urquhart &amp; Sullivan LLP, Chicago, IL; Evan R Chesler, LEAD ATTORNEY, Cravath Swaine and Moore LLP, New York, NY; Gary Bornstein, LEAD ATTORNEY, Cravath Swain &amp; Moore LLP, New York, NY; J Wesley Earnhardt, LEAD ATTORNEY, Cravath Swaine &amp; Moore LLP, New York, NY; Karen P. Hewitt, LEAD ATTORNEY, Jones Day, San Diego, CA; Keith Hummel, LEAD ATTORNEY, Cravath, Swaine &amp; Moore LLP, New York, NY; Randall E. Kay, LEAD ATTORNEY, Jones Day, San Diego, CA; Richard J Stark, LEAD ATTORNEY, Cravath Swaine and Moore, New York, NY; Stephen Andrew Swedlow, LEAD ATTORNEY, Quinn Emanuel Urquhart &amp; Sullivan LLP, Chicago, IL; Vanessa A. Lavely, LEAD ATTORNEY, Cravath Swain &amp; Moore LLP, New York, NY; Yonatan Even, LEAD ATTORNEY, Cravath Swaine &amp; Moore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Apple Inc. (3:17cv108), Counter Defendant: Aamir A Kazi, LEAD ATTORNEY, Fish &amp; Richardson, P.C., Atlanta, GA; Amy J Mauser, LEAD ATTORNEY, Boies, Schiller &amp; Flexner LLP, Washington, DC; Benjamin C. Elacqua, LEAD ATTORNEY, Fish &amp; Richardson P.C., Housotn, TX; Christopher George Renner, LEAD ATTORNEY, Boies, Schiller &amp; Flexner LLP, Washington, DC; Juanita R Brooks, LEAD ATTORNEY, Fish and Richardson, San Diego, CA; Karen L. Dunn, LEAD ATTORNEY, Boies, Schiller &amp; Flexner LLP, Washington, DC; Lauren A. Degnan, LEAD ATTORNEY, Fish &amp; Richardson PC, Washington, DC; Leah Adine Edelman, LEAD ATTORNEY, Fish &amp; Richardson PC, Washington, DC; Ruffin B. Cordell, LEAD ATTORNEY, Fish and Richardson, P.C., Washington, DC; William A. Isaacson, LEAD ATTORNEY, Boies, Schiller &amp; Flexner LLP, Washington, DC; Betty Hong Chen, Fish &amp; Richardson PC, Redwood City, CA; Gabriel R. Schlabach, Boies, Schiller &amp; Flexner LLP, Oakland, CA; Meredith R. Dearborn, Boies Schiller &amp; Flexner LLP, Oakland, CA; Steven C Holtzman, Boies Schiller and Flexner, Oakland, CA.</w:t>
      </w:r>
    </w:p>
    <w:p>
      <w:pPr>
        <w:keepNext w:val="0"/>
        <w:widowControl w:val="0"/>
        <w:spacing w:before="240" w:after="0" w:line="260" w:lineRule="atLeast"/>
        <w:ind w:left="0" w:right="0" w:firstLine="0"/>
        <w:jc w:val="left"/>
      </w:pPr>
      <w:bookmarkStart w:id="13" w:name="Judges"/>
      <w:bookmarkEnd w:id="13"/>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Sarah S. Vance, Chair. Marjorie O. Rendell, Ellen Segal Huvelle, Catherine D. Perry, Lewis A. Kaplan, R. David Proctor.</w:t>
      </w:r>
    </w:p>
    <w:p>
      <w:pPr>
        <w:keepNext w:val="0"/>
        <w:widowControl w:val="0"/>
        <w:spacing w:before="240" w:after="0" w:line="260" w:lineRule="atLeast"/>
        <w:ind w:left="0" w:right="0" w:firstLine="0"/>
        <w:jc w:val="left"/>
      </w:pPr>
      <w:bookmarkStart w:id="14" w:name="Opinion by"/>
      <w:bookmarkEnd w:id="14"/>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Sarah S. Vance</w:t>
      </w:r>
    </w:p>
    <w:p>
      <w:pPr>
        <w:keepNext/>
        <w:widowControl w:val="0"/>
        <w:spacing w:before="240" w:after="0" w:line="340" w:lineRule="atLeast"/>
        <w:ind w:left="0" w:right="0" w:firstLine="0"/>
        <w:jc w:val="left"/>
      </w:pPr>
      <w:bookmarkStart w:id="15" w:name="Opinion"/>
      <w:bookmarkEnd w:id="15"/>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30"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[*1374]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TRANSFER ORDER</w:t>
      </w:r>
    </w:p>
    <w:p>
      <w:pPr>
        <w:keepNext w:val="0"/>
        <w:widowControl w:val="0"/>
        <w:spacing w:before="200" w:after="0" w:line="260" w:lineRule="atLeast"/>
        <w:ind w:left="0" w:right="0" w:firstLine="0"/>
        <w:jc w:val="both"/>
      </w:pPr>
      <w:bookmarkStart w:id="16" w:name="Bookmark_para_1"/>
      <w:bookmarkEnd w:id="16"/>
      <w:r>
        <w:rPr>
          <w:rFonts w:ascii="arial" w:eastAsia="arial" w:hAnsi="arial" w:cs="arial"/>
          <w:b/>
          <w:i w:val="0"/>
          <w:strike w:val="0"/>
          <w:noProof w:val="0"/>
          <w:color w:val="000000"/>
          <w:position w:val="0"/>
          <w:sz w:val="20"/>
          <w:u w:val="none"/>
          <w:vertAlign w:val="baseline"/>
        </w:rPr>
        <w:t>Before the Panel</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0"/>
        <w:t xml:space="preserve">*</w:t>
      </w:r>
      <w:r>
        <w:rPr>
          <w:rFonts w:ascii="arial" w:eastAsia="arial" w:hAnsi="arial" w:cs="arial"/>
          <w:b w:val="0"/>
          <w:i w:val="0"/>
          <w:strike w:val="0"/>
          <w:noProof w:val="0"/>
          <w:color w:val="000000"/>
          <w:position w:val="0"/>
          <w:sz w:val="20"/>
          <w:u w:val="none"/>
          <w:vertAlign w:val="baseline"/>
        </w:rPr>
        <w:t xml:space="preserve"> Plaintiffs in the </w:t>
      </w:r>
      <w:r>
        <w:rPr>
          <w:rFonts w:ascii="arial" w:eastAsia="arial" w:hAnsi="arial" w:cs="arial"/>
          <w:b w:val="0"/>
          <w:i/>
          <w:strike w:val="0"/>
          <w:noProof w:val="0"/>
          <w:color w:val="000000"/>
          <w:position w:val="0"/>
          <w:sz w:val="20"/>
          <w:u w:val="none"/>
          <w:vertAlign w:val="baseline"/>
        </w:rPr>
        <w:t>Bornstein</w:t>
      </w:r>
      <w:r>
        <w:rPr>
          <w:rFonts w:ascii="arial" w:eastAsia="arial" w:hAnsi="arial" w:cs="arial"/>
          <w:b w:val="0"/>
          <w:i w:val="0"/>
          <w:strike w:val="0"/>
          <w:noProof w:val="0"/>
          <w:color w:val="000000"/>
          <w:position w:val="0"/>
          <w:sz w:val="20"/>
          <w:u w:val="none"/>
          <w:vertAlign w:val="baseline"/>
        </w:rPr>
        <w:t xml:space="preserve"> action listed on Schedule A and pending in the Northern District of California move under </w:t>
      </w:r>
      <w:hyperlink r:id="rId12" w:history="1">
        <w:r>
          <w:rPr>
            <w:rFonts w:ascii="arial" w:eastAsia="arial" w:hAnsi="arial" w:cs="arial"/>
            <w:b w:val="0"/>
            <w:i/>
            <w:strike w:val="0"/>
            <w:noProof w:val="0"/>
            <w:color w:val="0077CC"/>
            <w:position w:val="0"/>
            <w:sz w:val="20"/>
            <w:u w:val="single"/>
            <w:vertAlign w:val="baseline"/>
          </w:rPr>
          <w:t>28 U.S.C. § 1407</w:t>
        </w:r>
      </w:hyperlink>
      <w:r>
        <w:rPr>
          <w:rFonts w:ascii="arial" w:eastAsia="arial" w:hAnsi="arial" w:cs="arial"/>
          <w:b w:val="0"/>
          <w:i w:val="0"/>
          <w:strike w:val="0"/>
          <w:noProof w:val="0"/>
          <w:color w:val="000000"/>
          <w:position w:val="0"/>
          <w:sz w:val="20"/>
          <w:u w:val="none"/>
          <w:vertAlign w:val="baseline"/>
        </w:rPr>
        <w:t xml:space="preserve"> to centralize pretrial proceedings in this litigation in the Northern District of California. This litigation consists of four actions pending in the Northern District of California and three actions pending in the Southern District of California, as listed on Schedules A and B.</w:t>
      </w:r>
      <w:r>
        <w:rPr>
          <w:rFonts w:ascii="arial" w:eastAsia="arial" w:hAnsi="arial" w:cs="arial"/>
          <w:vertAlign w:val="superscript"/>
        </w:rPr>
        <w:footnoteReference w:customMarkFollows="1" w:id="1"/>
        <w:t xml:space="preserve">1</w:t>
      </w:r>
      <w:r>
        <w:rPr>
          <w:rFonts w:ascii="arial" w:eastAsia="arial" w:hAnsi="arial" w:cs="arial"/>
          <w:b w:val="0"/>
          <w:i w:val="0"/>
          <w:strike w:val="0"/>
          <w:noProof w:val="0"/>
          <w:color w:val="000000"/>
          <w:position w:val="0"/>
          <w:sz w:val="20"/>
          <w:u w:val="none"/>
          <w:vertAlign w:val="baseline"/>
        </w:rPr>
        <w:t xml:space="preserve"> The parties also have </w:t>
      </w:r>
      <w:r>
        <w:rPr>
          <w:rFonts w:ascii="arial" w:eastAsia="arial" w:hAnsi="arial" w:cs="arial"/>
          <w:b/>
          <w:i w:val="0"/>
          <w:strike w:val="0"/>
          <w:noProof w:val="0"/>
          <w:color w:val="000000"/>
          <w:position w:val="0"/>
          <w:sz w:val="20"/>
          <w:u w:val="none"/>
          <w:vertAlign w:val="baseline"/>
        </w:rPr>
        <w:t> [*1375] </w:t>
      </w:r>
      <w:r>
        <w:rPr>
          <w:rFonts w:ascii="arial" w:eastAsia="arial" w:hAnsi="arial" w:cs="arial"/>
          <w:b w:val="0"/>
          <w:i w:val="0"/>
          <w:strike w:val="0"/>
          <w:noProof w:val="0"/>
          <w:color w:val="000000"/>
          <w:position w:val="0"/>
          <w:sz w:val="20"/>
          <w:u w:val="none"/>
          <w:vertAlign w:val="baseline"/>
        </w:rPr>
        <w:t xml:space="preserve"> notified the Panel of twenty-nine actions involving related issues pending in these two districts.</w:t>
      </w:r>
      <w:r>
        <w:rPr>
          <w:rFonts w:ascii="arial" w:eastAsia="arial" w:hAnsi="arial" w:cs="arial"/>
          <w:vertAlign w:val="superscript"/>
        </w:rPr>
        <w:footnoteReference w:customMarkFollows="1" w:id="2"/>
        <w:t xml:space="preserve">2</w:t>
      </w:r>
    </w:p>
    <w:p>
      <w:pPr>
        <w:keepNext w:val="0"/>
        <w:widowControl w:val="0"/>
        <w:spacing w:before="200" w:after="0" w:line="260" w:lineRule="atLeast"/>
        <w:ind w:left="0" w:right="0" w:firstLine="0"/>
        <w:jc w:val="both"/>
      </w:pPr>
      <w:bookmarkStart w:id="22" w:name="Bookmark_para_2"/>
      <w:bookmarkEnd w:id="22"/>
      <w:r>
        <w:rPr>
          <w:rFonts w:ascii="arial" w:eastAsia="arial" w:hAnsi="arial" w:cs="arial"/>
          <w:b w:val="0"/>
          <w:i w:val="0"/>
          <w:strike w:val="0"/>
          <w:noProof w:val="0"/>
          <w:color w:val="000000"/>
          <w:position w:val="0"/>
          <w:sz w:val="20"/>
          <w:u w:val="none"/>
          <w:vertAlign w:val="baseline"/>
        </w:rPr>
        <w:t xml:space="preserve">The responding parties take a number of positions in response to the motion. Plaintiff Apple Inc., which is pursuing an individual action in the Southern District of California asserting contract, patent,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opposes inclusion in the proposed MDL. Alternatively, Apple suggests centralization in the Southern District of California. Plaintiffs in nineteen actions and potential tag-along actions support centralization, but are split as to whether the Northern or Southern Districts of California</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should be the transferee district. Defendant Qualcomm Incorporated (Qualcomm) supports centralization in the Southern District of California. If the Panel were to centralize this litigation elsewhere, Qualcomm asks that Apple's action be excluded from the MDL. Finally, the FTC has indicated that it does not oppose centralization of this litigation (but not its enforcement action) in the Northern District of California.</w:t>
      </w:r>
    </w:p>
    <w:p>
      <w:pPr>
        <w:keepNext w:val="0"/>
        <w:widowControl w:val="0"/>
        <w:spacing w:before="200" w:after="0" w:line="260" w:lineRule="atLeast"/>
        <w:ind w:left="0" w:right="0" w:firstLine="0"/>
        <w:jc w:val="both"/>
      </w:pPr>
      <w:bookmarkStart w:id="23" w:name="Bookmark_para_3"/>
      <w:bookmarkEnd w:id="23"/>
      <w:r>
        <w:rPr>
          <w:rFonts w:ascii="arial" w:eastAsia="arial" w:hAnsi="arial" w:cs="arial"/>
          <w:b w:val="0"/>
          <w:i w:val="0"/>
          <w:strike w:val="0"/>
          <w:noProof w:val="0"/>
          <w:color w:val="000000"/>
          <w:position w:val="0"/>
          <w:sz w:val="20"/>
          <w:u w:val="none"/>
          <w:vertAlign w:val="baseline"/>
        </w:rPr>
        <w:t>On the basis of the papers filed and hearing session held, we find that the actions listed on Schedule A involve common questions of fact, and that centralization in the Northern District of California will serve the convenience of the parties and witnesses and promote the just and efficient conduct of this litigation. These actions share factual questions arising from allegations that Qualcomm: (1) refused to license, or alternatively imposed onerous restrictions on licenses of, its standard essential patents (SEPs) to competing manufacturers of baseband processors; (2) conditioned the supply of its CDMA and premium LTE processors to cellular phone manufacturers on agreements to purchase a license for Qualcomm's entire patent portfolio; (3) entered into exclusive deals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with certain cellular phone manufacturers (namely, Apple); and (4) ignored the requirements of various standard setting organizations to license its SEPs on fair, reasonable, and non-discriminatory (FRAND) terms. Plaintiffs in all the actions listed on Schedule A assert similar claims for violations of federal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protection laws. And all of these actions involve overlapping putative nationwide classes of cell phone purchasers. Centralization thus will eliminate duplicative discovery; prevent inconsistent pretrial rulings, including with respect to class certification; and conserve the resources of the parties, their counsel, and the judiciary.</w:t>
      </w:r>
    </w:p>
    <w:p>
      <w:pPr>
        <w:keepNext w:val="0"/>
        <w:widowControl w:val="0"/>
        <w:spacing w:before="200" w:after="0" w:line="260" w:lineRule="atLeast"/>
        <w:ind w:left="0" w:right="0" w:firstLine="0"/>
        <w:jc w:val="both"/>
      </w:pPr>
      <w:bookmarkStart w:id="24" w:name="Bookmark_para_4"/>
      <w:bookmarkEnd w:id="24"/>
      <w:r>
        <w:rPr>
          <w:rFonts w:ascii="arial" w:eastAsia="arial" w:hAnsi="arial" w:cs="arial"/>
          <w:b w:val="0"/>
          <w:i w:val="0"/>
          <w:strike w:val="0"/>
          <w:noProof w:val="0"/>
          <w:color w:val="000000"/>
          <w:position w:val="0"/>
          <w:sz w:val="20"/>
          <w:u w:val="none"/>
          <w:vertAlign w:val="baseline"/>
        </w:rPr>
        <w:t xml:space="preserve">We are persuaded that Apple's action, listed on Schedule B, should be excluded from this MDL. Although Apple asserts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similar to those asserted by plaintiffs in the actions listed on Schedule A, it also asserts unique contract and patent claims against Qualcomm. Apple allegedly entered into a rebate program in order to ameliorate the effects of Qualcomm's anticompetitive conduct. Apple seeks nearly $1 billion in unpaid rebates that were allegedly withheld by Qualcomm in retaliation for Apple's responding</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to requests for information by certain foreign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Apple also claims that certain of Qualcomm's patents </w:t>
      </w:r>
      <w:r>
        <w:rPr>
          <w:rFonts w:ascii="arial" w:eastAsia="arial" w:hAnsi="arial" w:cs="arial"/>
          <w:b/>
          <w:i w:val="0"/>
          <w:strike w:val="0"/>
          <w:noProof w:val="0"/>
          <w:color w:val="000000"/>
          <w:position w:val="0"/>
          <w:sz w:val="20"/>
          <w:u w:val="none"/>
          <w:vertAlign w:val="baseline"/>
        </w:rPr>
        <w:t> [*1376] </w:t>
      </w:r>
      <w:r>
        <w:rPr>
          <w:rFonts w:ascii="arial" w:eastAsia="arial" w:hAnsi="arial" w:cs="arial"/>
          <w:b w:val="0"/>
          <w:i w:val="0"/>
          <w:strike w:val="0"/>
          <w:noProof w:val="0"/>
          <w:color w:val="000000"/>
          <w:position w:val="0"/>
          <w:sz w:val="20"/>
          <w:u w:val="none"/>
          <w:vertAlign w:val="baseline"/>
        </w:rPr>
        <w:t xml:space="preserve"> are either not essential or not licensed on FRAND terms. While Apple will seek to obtain some of the same documentary and testimonial evidence relating to Qualcomm's licensing practices as the class plaintiffs, we are convinced that any common discovery can be coordinated among the parties and the involved courts, whereas inclusion of Apple's action in the MDL could significantly complicate the proceedings and cause delay or other inefficiencies.</w:t>
      </w:r>
      <w:r>
        <w:rPr>
          <w:rFonts w:ascii="arial" w:eastAsia="arial" w:hAnsi="arial" w:cs="arial"/>
          <w:vertAlign w:val="superscript"/>
        </w:rPr>
        <w:footnoteReference w:customMarkFollows="1" w:id="3"/>
        <w:t xml:space="preserve">3</w:t>
      </w:r>
    </w:p>
    <w:p>
      <w:pPr>
        <w:keepNext w:val="0"/>
        <w:widowControl w:val="0"/>
        <w:spacing w:before="200" w:after="0" w:line="260" w:lineRule="atLeast"/>
        <w:ind w:left="0" w:right="0" w:firstLine="0"/>
        <w:jc w:val="both"/>
      </w:pPr>
      <w:bookmarkStart w:id="29" w:name="Bookmark_para_5"/>
      <w:bookmarkEnd w:id="29"/>
      <w:r>
        <w:rPr>
          <w:rFonts w:ascii="arial" w:eastAsia="arial" w:hAnsi="arial" w:cs="arial"/>
          <w:b w:val="0"/>
          <w:i w:val="0"/>
          <w:strike w:val="0"/>
          <w:noProof w:val="0"/>
          <w:color w:val="000000"/>
          <w:position w:val="0"/>
          <w:sz w:val="20"/>
          <w:u w:val="none"/>
          <w:vertAlign w:val="baseline"/>
        </w:rPr>
        <w:t>The Northern District of California is the appropriate transferee district for this litigation. Four of the actions on the motion (as well as twenty potential tag-along actions) are pending in this district. Also pending in the district is the FTC's enforcement action. Thus, centralization in the Northern District of California will facilitate coordination of discovery and other pretrial activities between the FTC action and the private actions. Additionally, many potential witnesses in this litigation (such as Apple's employees and those of other cell phone manufacturers) are located in or near the Northern District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of California. The district also will be convenient for the third parties and witnesses based in Asia (where a number of foreign government investigations of Qualcomm's licensing practices have been conducted or are underway). This district thus presents a convenient and accessible forum with the necessary judicial resources and expertise to manage this litigation efficiently. By appointing the Honorable Lucy H. Koh to preside over this matter, we select a jurist with multidistrict litigation experience and the ability to steer this complicated litigation on an efficient and prudent course.</w:t>
      </w:r>
    </w:p>
    <w:p>
      <w:pPr>
        <w:keepNext w:val="0"/>
        <w:widowControl w:val="0"/>
        <w:spacing w:before="200" w:after="0" w:line="260" w:lineRule="atLeast"/>
        <w:ind w:left="0" w:right="0" w:firstLine="0"/>
        <w:jc w:val="both"/>
      </w:pPr>
      <w:bookmarkStart w:id="30" w:name="Bookmark_para_6"/>
      <w:bookmarkEnd w:id="30"/>
      <w:r>
        <w:rPr>
          <w:rFonts w:ascii="arial" w:eastAsia="arial" w:hAnsi="arial" w:cs="arial"/>
          <w:b w:val="0"/>
          <w:i w:val="0"/>
          <w:strike w:val="0"/>
          <w:noProof w:val="0"/>
          <w:color w:val="000000"/>
          <w:position w:val="0"/>
          <w:sz w:val="20"/>
          <w:u w:val="none"/>
          <w:vertAlign w:val="baseline"/>
        </w:rPr>
        <w:t>IT IS THEREFORE ORDERED that the actions listed on Schedule A and pending outside the Northern District of California are transferred to the Northern District of California and, with the consent of that court, assigned to the Honorable Lucy H. Koh for coordinated or consolidated pretrial proceedings; and</w:t>
      </w:r>
    </w:p>
    <w:p>
      <w:pPr>
        <w:keepNext w:val="0"/>
        <w:widowControl w:val="0"/>
        <w:spacing w:before="200" w:after="0" w:line="260" w:lineRule="atLeast"/>
        <w:ind w:left="0" w:right="0" w:firstLine="0"/>
        <w:jc w:val="both"/>
      </w:pPr>
      <w:bookmarkStart w:id="31" w:name="Bookmark_para_7"/>
      <w:bookmarkEnd w:id="31"/>
      <w:r>
        <w:rPr>
          <w:rFonts w:ascii="arial" w:eastAsia="arial" w:hAnsi="arial" w:cs="arial"/>
          <w:b w:val="0"/>
          <w:i w:val="0"/>
          <w:strike w:val="0"/>
          <w:noProof w:val="0"/>
          <w:color w:val="000000"/>
          <w:position w:val="0"/>
          <w:sz w:val="20"/>
          <w:u w:val="none"/>
          <w:vertAlign w:val="baseline"/>
        </w:rPr>
        <w:t>IT IS FURTHER ORDERED that transfer of the action listed on Schedule B is denied.</w:t>
      </w:r>
    </w:p>
    <w:p>
      <w:pPr>
        <w:keepNext w:val="0"/>
        <w:widowControl w:val="0"/>
        <w:spacing w:before="200" w:after="0" w:line="260" w:lineRule="atLeast"/>
        <w:ind w:left="0" w:right="0" w:firstLine="0"/>
        <w:jc w:val="both"/>
      </w:pPr>
      <w:bookmarkStart w:id="32" w:name="Bookmark_para_8"/>
      <w:bookmarkEnd w:id="32"/>
      <w:r>
        <w:rPr>
          <w:rFonts w:ascii="arial" w:eastAsia="arial" w:hAnsi="arial" w:cs="arial"/>
          <w:b w:val="0"/>
          <w:i w:val="0"/>
          <w:strike w:val="0"/>
          <w:noProof w:val="0"/>
          <w:color w:val="000000"/>
          <w:position w:val="0"/>
          <w:sz w:val="20"/>
          <w:u w:val="none"/>
          <w:vertAlign w:val="baseline"/>
        </w:rPr>
        <w:t>PANEL ON MULTIDISTRICT LITIGATION</w:t>
      </w:r>
    </w:p>
    <w:p>
      <w:pPr>
        <w:keepNext w:val="0"/>
        <w:widowControl w:val="0"/>
        <w:spacing w:before="200" w:after="0" w:line="260" w:lineRule="atLeast"/>
        <w:ind w:left="0" w:right="0" w:firstLine="0"/>
        <w:jc w:val="both"/>
      </w:pPr>
      <w:bookmarkStart w:id="33" w:name="Bookmark_para_9"/>
      <w:bookmarkEnd w:id="33"/>
      <w:r>
        <w:rPr>
          <w:rFonts w:ascii="arial" w:eastAsia="arial" w:hAnsi="arial" w:cs="arial"/>
          <w:b w:val="0"/>
          <w:i w:val="0"/>
          <w:strike w:val="0"/>
          <w:noProof w:val="0"/>
          <w:color w:val="000000"/>
          <w:position w:val="0"/>
          <w:sz w:val="20"/>
          <w:u w:val="none"/>
          <w:vertAlign w:val="baseline"/>
        </w:rPr>
        <w:t>/s/ Sarah S. Vance</w:t>
      </w:r>
    </w:p>
    <w:p>
      <w:pPr>
        <w:keepNext w:val="0"/>
        <w:widowControl w:val="0"/>
        <w:spacing w:before="200" w:after="0" w:line="260" w:lineRule="atLeast"/>
        <w:ind w:left="0" w:right="0" w:firstLine="0"/>
        <w:jc w:val="both"/>
      </w:pPr>
      <w:bookmarkStart w:id="34" w:name="Bookmark_para_10"/>
      <w:bookmarkEnd w:id="34"/>
      <w:r>
        <w:rPr>
          <w:rFonts w:ascii="arial" w:eastAsia="arial" w:hAnsi="arial" w:cs="arial"/>
          <w:b w:val="0"/>
          <w:i w:val="0"/>
          <w:strike w:val="0"/>
          <w:noProof w:val="0"/>
          <w:color w:val="000000"/>
          <w:position w:val="0"/>
          <w:sz w:val="20"/>
          <w:u w:val="none"/>
          <w:vertAlign w:val="baseline"/>
        </w:rPr>
        <w:t>Sarah S. Vance</w:t>
      </w:r>
    </w:p>
    <w:p>
      <w:pPr>
        <w:keepNext w:val="0"/>
        <w:widowControl w:val="0"/>
        <w:spacing w:before="200" w:after="0" w:line="260" w:lineRule="atLeast"/>
        <w:ind w:left="0" w:right="0" w:firstLine="0"/>
        <w:jc w:val="both"/>
      </w:pPr>
      <w:bookmarkStart w:id="35" w:name="Bookmark_para_11"/>
      <w:bookmarkEnd w:id="35"/>
      <w:r>
        <w:rPr>
          <w:rFonts w:ascii="arial" w:eastAsia="arial" w:hAnsi="arial" w:cs="arial"/>
          <w:b w:val="0"/>
          <w:i w:val="0"/>
          <w:strike w:val="0"/>
          <w:noProof w:val="0"/>
          <w:color w:val="000000"/>
          <w:position w:val="0"/>
          <w:sz w:val="20"/>
          <w:u w:val="none"/>
          <w:vertAlign w:val="baseline"/>
        </w:rPr>
        <w:t>Chair</w:t>
      </w:r>
    </w:p>
    <w:p>
      <w:pPr>
        <w:keepNext w:val="0"/>
        <w:widowControl w:val="0"/>
        <w:spacing w:before="200" w:after="0" w:line="260" w:lineRule="atLeast"/>
        <w:ind w:left="0" w:right="0" w:firstLine="0"/>
        <w:jc w:val="both"/>
      </w:pPr>
      <w:bookmarkStart w:id="36" w:name="Bookmark_para_12"/>
      <w:bookmarkEnd w:id="36"/>
      <w:r>
        <w:rPr>
          <w:rFonts w:ascii="arial" w:eastAsia="arial" w:hAnsi="arial" w:cs="arial"/>
          <w:b w:val="0"/>
          <w:i w:val="0"/>
          <w:strike w:val="0"/>
          <w:noProof w:val="0"/>
          <w:color w:val="000000"/>
          <w:position w:val="0"/>
          <w:sz w:val="20"/>
          <w:u w:val="none"/>
          <w:vertAlign w:val="baseline"/>
        </w:rPr>
        <w:t>Marjorie O. Rendell</w:t>
      </w:r>
    </w:p>
    <w:p>
      <w:pPr>
        <w:keepNext w:val="0"/>
        <w:widowControl w:val="0"/>
        <w:spacing w:before="200" w:after="0" w:line="260" w:lineRule="atLeast"/>
        <w:ind w:left="0" w:right="0" w:firstLine="0"/>
        <w:jc w:val="both"/>
      </w:pPr>
      <w:bookmarkStart w:id="37" w:name="Bookmark_para_13"/>
      <w:bookmarkEnd w:id="37"/>
      <w:r>
        <w:rPr>
          <w:rFonts w:ascii="arial" w:eastAsia="arial" w:hAnsi="arial" w:cs="arial"/>
          <w:b w:val="0"/>
          <w:i w:val="0"/>
          <w:strike w:val="0"/>
          <w:noProof w:val="0"/>
          <w:color w:val="000000"/>
          <w:position w:val="0"/>
          <w:sz w:val="20"/>
          <w:u w:val="none"/>
          <w:vertAlign w:val="baseline"/>
        </w:rPr>
        <w:t>Ellen Segal Huvelle</w:t>
      </w:r>
    </w:p>
    <w:p>
      <w:pPr>
        <w:keepNext w:val="0"/>
        <w:widowControl w:val="0"/>
        <w:spacing w:before="200" w:after="0" w:line="260" w:lineRule="atLeast"/>
        <w:ind w:left="0" w:right="0" w:firstLine="0"/>
        <w:jc w:val="both"/>
      </w:pPr>
      <w:bookmarkStart w:id="38" w:name="Bookmark_para_14"/>
      <w:bookmarkEnd w:id="38"/>
      <w:r>
        <w:rPr>
          <w:rFonts w:ascii="arial" w:eastAsia="arial" w:hAnsi="arial" w:cs="arial"/>
          <w:b w:val="0"/>
          <w:i w:val="0"/>
          <w:strike w:val="0"/>
          <w:noProof w:val="0"/>
          <w:color w:val="000000"/>
          <w:position w:val="0"/>
          <w:sz w:val="20"/>
          <w:u w:val="none"/>
          <w:vertAlign w:val="baseline"/>
        </w:rPr>
        <w:t>Catherine D. Perry</w:t>
      </w:r>
    </w:p>
    <w:p>
      <w:pPr>
        <w:keepNext w:val="0"/>
        <w:widowControl w:val="0"/>
        <w:spacing w:before="200" w:after="0" w:line="260" w:lineRule="atLeast"/>
        <w:ind w:left="0" w:right="0" w:firstLine="0"/>
        <w:jc w:val="both"/>
      </w:pPr>
      <w:bookmarkStart w:id="39" w:name="Bookmark_para_15"/>
      <w:bookmarkEnd w:id="39"/>
      <w:r>
        <w:rPr>
          <w:rFonts w:ascii="arial" w:eastAsia="arial" w:hAnsi="arial" w:cs="arial"/>
          <w:b w:val="0"/>
          <w:i w:val="0"/>
          <w:strike w:val="0"/>
          <w:noProof w:val="0"/>
          <w:color w:val="000000"/>
          <w:position w:val="0"/>
          <w:sz w:val="20"/>
          <w:u w:val="none"/>
          <w:vertAlign w:val="baseline"/>
        </w:rPr>
        <w:t>Lewis A. Kaplan</w:t>
      </w:r>
    </w:p>
    <w:p>
      <w:pPr>
        <w:keepNext w:val="0"/>
        <w:widowControl w:val="0"/>
        <w:spacing w:before="200" w:after="0" w:line="260" w:lineRule="atLeast"/>
        <w:ind w:left="0" w:right="0" w:firstLine="0"/>
        <w:jc w:val="both"/>
      </w:pPr>
      <w:bookmarkStart w:id="40" w:name="Bookmark_para_16"/>
      <w:bookmarkEnd w:id="40"/>
      <w:r>
        <w:rPr>
          <w:rFonts w:ascii="arial" w:eastAsia="arial" w:hAnsi="arial" w:cs="arial"/>
          <w:b w:val="0"/>
          <w:i w:val="0"/>
          <w:strike w:val="0"/>
          <w:noProof w:val="0"/>
          <w:color w:val="000000"/>
          <w:position w:val="0"/>
          <w:sz w:val="20"/>
          <w:u w:val="none"/>
          <w:vertAlign w:val="baseline"/>
        </w:rPr>
        <w:t>R. David Proctor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SCHEDULE A</w:t>
      </w:r>
    </w:p>
    <w:p>
      <w:pPr>
        <w:keepNext w:val="0"/>
        <w:widowControl w:val="0"/>
        <w:spacing w:before="240" w:after="0" w:line="260" w:lineRule="atLeast"/>
        <w:ind w:left="400" w:right="0" w:firstLine="0"/>
        <w:jc w:val="left"/>
      </w:pPr>
      <w:r>
        <w:br/>
      </w:r>
      <w:r>
        <w:rPr>
          <w:rFonts w:ascii="arial" w:eastAsia="arial" w:hAnsi="arial" w:cs="arial"/>
          <w:b w:val="0"/>
          <w:i w:val="0"/>
          <w:strike w:val="0"/>
          <w:noProof w:val="0"/>
          <w:color w:val="000000"/>
          <w:position w:val="0"/>
          <w:sz w:val="20"/>
          <w:u w:val="single"/>
          <w:vertAlign w:val="baseline"/>
        </w:rPr>
        <w:t>Northern District of California</w:t>
      </w:r>
    </w:p>
    <w:p>
      <w:pPr>
        <w:keepNext w:val="0"/>
        <w:widowControl w:val="0"/>
        <w:spacing w:before="200" w:after="0" w:line="260" w:lineRule="atLeast"/>
        <w:ind w:left="400" w:right="0" w:firstLine="0"/>
        <w:jc w:val="both"/>
      </w:pPr>
      <w:bookmarkStart w:id="41" w:name="Bookmark_para_17"/>
      <w:bookmarkEnd w:id="41"/>
      <w:r>
        <w:rPr>
          <w:rFonts w:ascii="arial" w:eastAsia="arial" w:hAnsi="arial" w:cs="arial"/>
          <w:b w:val="0"/>
          <w:i w:val="0"/>
          <w:strike w:val="0"/>
          <w:noProof w:val="0"/>
          <w:color w:val="000000"/>
          <w:position w:val="0"/>
          <w:sz w:val="20"/>
          <w:u w:val="none"/>
          <w:vertAlign w:val="baseline"/>
        </w:rPr>
        <w:t>BORNSTEIN, ET AL. v.</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QUALCOMM INCORPORATED, C.A. No. 5:17-00234</w:t>
      </w:r>
    </w:p>
    <w:p>
      <w:pPr>
        <w:keepNext w:val="0"/>
        <w:widowControl w:val="0"/>
        <w:spacing w:before="200" w:after="0" w:line="260" w:lineRule="atLeast"/>
        <w:ind w:left="400" w:right="0" w:firstLine="0"/>
        <w:jc w:val="both"/>
      </w:pPr>
      <w:bookmarkStart w:id="42" w:name="Bookmark_para_18"/>
      <w:bookmarkEnd w:id="42"/>
      <w:r>
        <w:rPr>
          <w:rFonts w:ascii="arial" w:eastAsia="arial" w:hAnsi="arial" w:cs="arial"/>
          <w:b w:val="0"/>
          <w:i w:val="0"/>
          <w:strike w:val="0"/>
          <w:noProof w:val="0"/>
          <w:color w:val="000000"/>
          <w:position w:val="0"/>
          <w:sz w:val="20"/>
          <w:u w:val="none"/>
          <w:vertAlign w:val="baseline"/>
        </w:rPr>
        <w:t>STROMBERG, ET AL. v. QUALCOMM INCORPORATED, C.A. No. 5:17-00304</w:t>
      </w:r>
    </w:p>
    <w:p>
      <w:pPr>
        <w:keepNext w:val="0"/>
        <w:widowControl w:val="0"/>
        <w:spacing w:before="200" w:after="0" w:line="260" w:lineRule="atLeast"/>
        <w:ind w:left="400" w:right="0" w:firstLine="0"/>
        <w:jc w:val="both"/>
      </w:pPr>
      <w:bookmarkStart w:id="43" w:name="Bookmark_para_19"/>
      <w:bookmarkEnd w:id="43"/>
      <w:r>
        <w:rPr>
          <w:rFonts w:ascii="arial" w:eastAsia="arial" w:hAnsi="arial" w:cs="arial"/>
          <w:b w:val="0"/>
          <w:i w:val="0"/>
          <w:strike w:val="0"/>
          <w:noProof w:val="0"/>
          <w:color w:val="000000"/>
          <w:position w:val="0"/>
          <w:sz w:val="20"/>
          <w:u w:val="none"/>
          <w:vertAlign w:val="baseline"/>
        </w:rPr>
        <w:t>MCMAHON v. QUALCOMM INCORPORATED, C.A. No. 5:17-00372</w:t>
      </w:r>
    </w:p>
    <w:p>
      <w:pPr>
        <w:keepNext w:val="0"/>
        <w:widowControl w:val="0"/>
        <w:spacing w:before="200" w:after="0" w:line="260" w:lineRule="atLeast"/>
        <w:ind w:left="400" w:right="0" w:firstLine="0"/>
        <w:jc w:val="both"/>
      </w:pPr>
      <w:bookmarkStart w:id="44" w:name="Bookmark_para_20"/>
      <w:bookmarkEnd w:id="44"/>
      <w:r>
        <w:rPr>
          <w:rFonts w:ascii="arial" w:eastAsia="arial" w:hAnsi="arial" w:cs="arial"/>
          <w:b w:val="0"/>
          <w:i w:val="0"/>
          <w:strike w:val="0"/>
          <w:noProof w:val="0"/>
          <w:color w:val="000000"/>
          <w:position w:val="0"/>
          <w:sz w:val="20"/>
          <w:u w:val="none"/>
          <w:vertAlign w:val="baseline"/>
        </w:rPr>
        <w:t>BOARDSPORTS SCHOOL LLC v. QUALCOMM INCORPORATED, C.A. No. 5:17-00398</w:t>
      </w:r>
    </w:p>
    <w:p>
      <w:pPr>
        <w:keepNext w:val="0"/>
        <w:widowControl w:val="0"/>
        <w:spacing w:before="240" w:after="0" w:line="260" w:lineRule="atLeast"/>
        <w:ind w:left="400" w:right="0" w:firstLine="0"/>
        <w:jc w:val="left"/>
      </w:pPr>
      <w:r>
        <w:br/>
      </w:r>
      <w:r>
        <w:rPr>
          <w:rFonts w:ascii="arial" w:eastAsia="arial" w:hAnsi="arial" w:cs="arial"/>
          <w:b w:val="0"/>
          <w:i w:val="0"/>
          <w:strike w:val="0"/>
          <w:noProof w:val="0"/>
          <w:color w:val="000000"/>
          <w:position w:val="0"/>
          <w:sz w:val="20"/>
          <w:u w:val="single"/>
          <w:vertAlign w:val="baseline"/>
        </w:rPr>
        <w:t>Southern District of California</w:t>
      </w:r>
    </w:p>
    <w:p>
      <w:pPr>
        <w:keepNext w:val="0"/>
        <w:widowControl w:val="0"/>
        <w:spacing w:before="200" w:after="0" w:line="260" w:lineRule="atLeast"/>
        <w:ind w:left="400" w:right="0" w:firstLine="0"/>
        <w:jc w:val="both"/>
      </w:pPr>
      <w:bookmarkStart w:id="45" w:name="Bookmark_para_21"/>
      <w:bookmarkEnd w:id="45"/>
      <w:r>
        <w:rPr>
          <w:rFonts w:ascii="arial" w:eastAsia="arial" w:hAnsi="arial" w:cs="arial"/>
          <w:b w:val="0"/>
          <w:i w:val="0"/>
          <w:strike w:val="0"/>
          <w:noProof w:val="0"/>
          <w:color w:val="000000"/>
          <w:position w:val="0"/>
          <w:sz w:val="20"/>
          <w:u w:val="none"/>
          <w:vertAlign w:val="baseline"/>
        </w:rPr>
        <w:t>MILLER v. QUALCOMM INCORPORATED, C.A. No. 3:17-00147</w:t>
      </w:r>
    </w:p>
    <w:p>
      <w:pPr>
        <w:keepNext w:val="0"/>
        <w:widowControl w:val="0"/>
        <w:spacing w:before="200" w:after="0" w:line="260" w:lineRule="atLeast"/>
        <w:ind w:left="400" w:right="0" w:firstLine="0"/>
        <w:jc w:val="both"/>
      </w:pPr>
      <w:bookmarkStart w:id="46" w:name="Bookmark_para_22"/>
      <w:bookmarkEnd w:id="46"/>
      <w:r>
        <w:rPr>
          <w:rFonts w:ascii="arial" w:eastAsia="arial" w:hAnsi="arial" w:cs="arial"/>
          <w:b w:val="0"/>
          <w:i w:val="0"/>
          <w:strike w:val="0"/>
          <w:noProof w:val="0"/>
          <w:color w:val="000000"/>
          <w:position w:val="0"/>
          <w:sz w:val="20"/>
          <w:u w:val="none"/>
          <w:vertAlign w:val="baseline"/>
        </w:rPr>
        <w:t>MACKAY, ET AL. v. QUALCOMM INCORPORATED, C.A. No. 3:17-00148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[*1377]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SCHEDULE B</w:t>
      </w:r>
    </w:p>
    <w:p>
      <w:pPr>
        <w:keepNext w:val="0"/>
        <w:widowControl w:val="0"/>
        <w:spacing w:before="240" w:after="0" w:line="260" w:lineRule="atLeast"/>
        <w:ind w:left="400" w:right="0" w:firstLine="0"/>
        <w:jc w:val="left"/>
      </w:pPr>
      <w:r>
        <w:br/>
      </w:r>
      <w:r>
        <w:rPr>
          <w:rFonts w:ascii="arial" w:eastAsia="arial" w:hAnsi="arial" w:cs="arial"/>
          <w:b w:val="0"/>
          <w:i w:val="0"/>
          <w:strike w:val="0"/>
          <w:noProof w:val="0"/>
          <w:color w:val="000000"/>
          <w:position w:val="0"/>
          <w:sz w:val="20"/>
          <w:u w:val="single"/>
          <w:vertAlign w:val="baseline"/>
        </w:rPr>
        <w:t>Southern District of California</w:t>
      </w:r>
    </w:p>
    <w:p>
      <w:pPr>
        <w:keepNext w:val="0"/>
        <w:widowControl w:val="0"/>
        <w:spacing w:before="200" w:after="0" w:line="260" w:lineRule="atLeast"/>
        <w:ind w:left="400" w:right="0" w:firstLine="0"/>
        <w:jc w:val="both"/>
      </w:pPr>
      <w:bookmarkStart w:id="47" w:name="Bookmark_para_23"/>
      <w:bookmarkEnd w:id="47"/>
      <w:r>
        <w:rPr>
          <w:rFonts w:ascii="arial" w:eastAsia="arial" w:hAnsi="arial" w:cs="arial"/>
          <w:b w:val="0"/>
          <w:i w:val="0"/>
          <w:strike w:val="0"/>
          <w:noProof w:val="0"/>
          <w:color w:val="000000"/>
          <w:position w:val="0"/>
          <w:sz w:val="20"/>
          <w:u w:val="none"/>
          <w:vertAlign w:val="baseline"/>
        </w:rPr>
        <w:t>APPLE INC. v. QUALCOMM INCORPORATED, C.A. No. 3:17-00108</w:t>
      </w:r>
    </w:p>
    <w:p/>
    <w:p>
      <w:pPr>
        <w:ind w:left="200"/>
      </w:pPr>
      <w:r>
        <w:br/>
      </w:r>
      <w:r>
        <w:pict>
          <v:line id="_x0000_s1032"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bookmarkStart w:id="17" w:name="Bookmark_fnpara_1"/>
      <w:bookmarkEnd w:id="17"/>
      <w:r>
        <w:rPr>
          <w:rFonts w:ascii="arial" w:eastAsia="arial" w:hAnsi="arial" w:cs="arial"/>
          <w:b w:val="0"/>
          <w:i w:val="0"/>
          <w:strike w:val="0"/>
          <w:noProof w:val="0"/>
          <w:color w:val="000000"/>
          <w:position w:val="0"/>
          <w:sz w:val="18"/>
          <w:u w:val="none"/>
          <w:vertAlign w:val="baseline"/>
        </w:rPr>
        <w:t>Judge Charles R. Breyer took no part in the decision of this matter. Additionally, one or more Panel members who could be members of the putative classes in this litigation have renounced their participation in these classes and have participated in this decision.</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8" w:name="Bookmark_fnpara_2"/>
      <w:bookmarkEnd w:id="18"/>
      <w:r>
        <w:rPr>
          <w:rFonts w:ascii="arial" w:eastAsia="arial" w:hAnsi="arial" w:cs="arial"/>
          <w:b w:val="0"/>
          <w:i w:val="0"/>
          <w:strike w:val="0"/>
          <w:noProof w:val="0"/>
          <w:color w:val="000000"/>
          <w:position w:val="0"/>
          <w:sz w:val="18"/>
          <w:u w:val="none"/>
          <w:vertAlign w:val="baseline"/>
        </w:rPr>
        <w:t xml:space="preserve">Movants initially requested centralization of an enforcement action filed by the Federal Trade Commission (FTC) in the Northern District of California. Both the FTC and numerous parties opposed transfer of this action based on </w:t>
      </w:r>
      <w:hyperlink r:id="rId1" w:history="1">
        <w:r>
          <w:rPr>
            <w:rFonts w:ascii="arial" w:eastAsia="arial" w:hAnsi="arial" w:cs="arial"/>
            <w:b w:val="0"/>
            <w:i/>
            <w:strike w:val="0"/>
            <w:noProof w:val="0"/>
            <w:color w:val="0077CC"/>
            <w:position w:val="0"/>
            <w:sz w:val="18"/>
            <w:u w:val="single"/>
            <w:vertAlign w:val="baseline"/>
          </w:rPr>
          <w:t>28 U.S.C. § 1407(g)</w:t>
        </w:r>
      </w:hyperlink>
      <w:r>
        <w:rPr>
          <w:rFonts w:ascii="arial" w:eastAsia="arial" w:hAnsi="arial" w:cs="arial"/>
          <w:b w:val="0"/>
          <w:i w:val="0"/>
          <w:strike w:val="0"/>
          <w:noProof w:val="0"/>
          <w:color w:val="000000"/>
          <w:position w:val="0"/>
          <w:sz w:val="18"/>
          <w:u w:val="none"/>
          <w:vertAlign w:val="baseline"/>
        </w:rPr>
        <w:t xml:space="preserve">, which prohibits transfer of "any action in which the United States is a complainant arising under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Movants subsequently withdrew their request to include the FTC's action in the proposed MDL.</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9" w:name="Bookmark_fnpara_3"/>
      <w:bookmarkEnd w:id="19"/>
      <w:r>
        <w:rPr>
          <w:rFonts w:ascii="arial" w:eastAsia="arial" w:hAnsi="arial" w:cs="arial"/>
          <w:b w:val="0"/>
          <w:i w:val="0"/>
          <w:strike w:val="0"/>
          <w:noProof w:val="0"/>
          <w:color w:val="000000"/>
          <w:position w:val="0"/>
          <w:sz w:val="18"/>
          <w:u w:val="none"/>
          <w:vertAlign w:val="baseline"/>
        </w:rPr>
        <w:t xml:space="preserve">These and any other related actions are potential tag-along actions. </w:t>
      </w:r>
      <w:bookmarkStart w:id="20" w:name="Bookmark_I5NFBC0X2SF8HD0020000400"/>
      <w:bookmarkEnd w:id="20"/>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Panel Rules 1.1(h), 7.1, and 7.2. Defendant Qualcomm Incorporated has indicated that it opposes inclusion of two of these actions, which assert securities fraud claims, in this MDL. This opposition, though, is premature. </w:t>
      </w:r>
      <w:r>
        <w:rPr>
          <w:rFonts w:ascii="arial" w:eastAsia="arial" w:hAnsi="arial" w:cs="arial"/>
          <w:b w:val="0"/>
          <w:i/>
          <w:strike w:val="0"/>
          <w:noProof w:val="0"/>
          <w:color w:val="000000"/>
          <w:position w:val="0"/>
          <w:sz w:val="18"/>
          <w:u w:val="none"/>
          <w:vertAlign w:val="baseline"/>
        </w:rPr>
        <w:t xml:space="preserve">See </w:t>
      </w:r>
      <w:bookmarkStart w:id="21" w:name="Bookmark_I5NFBC0X2SF8HD0010000400"/>
      <w:bookmarkEnd w:id="21"/>
      <w:hyperlink r:id="rId2" w:history="1">
        <w:r>
          <w:rPr>
            <w:rFonts w:ascii="arial" w:eastAsia="arial" w:hAnsi="arial" w:cs="arial"/>
            <w:b w:val="0"/>
            <w:i/>
            <w:strike w:val="0"/>
            <w:noProof w:val="0"/>
            <w:color w:val="0077CC"/>
            <w:position w:val="0"/>
            <w:sz w:val="18"/>
            <w:u w:val="single"/>
            <w:vertAlign w:val="baseline"/>
          </w:rPr>
          <w:t>In re DePuy Orthopaedics, Inc., Pinnacle Hip Implant Prods. Liab. Litig.</w:t>
        </w:r>
      </w:hyperlink>
      <w:hyperlink r:id="rId2" w:history="1">
        <w:r>
          <w:rPr>
            <w:rFonts w:ascii="arial" w:eastAsia="arial" w:hAnsi="arial" w:cs="arial"/>
            <w:b w:val="0"/>
            <w:i/>
            <w:strike w:val="0"/>
            <w:noProof w:val="0"/>
            <w:color w:val="0077CC"/>
            <w:position w:val="0"/>
            <w:sz w:val="18"/>
            <w:u w:val="single"/>
            <w:vertAlign w:val="baseline"/>
          </w:rPr>
          <w:t>, 787 F. Supp. 2d 1358, 1360 (J.P.M.L. 2011)</w:t>
        </w:r>
      </w:hyperlink>
      <w:r>
        <w:rPr>
          <w:rFonts w:ascii="arial" w:eastAsia="arial" w:hAnsi="arial" w:cs="arial"/>
          <w:b w:val="0"/>
          <w:i w:val="0"/>
          <w:strike w:val="0"/>
          <w:noProof w:val="0"/>
          <w:color w:val="000000"/>
          <w:position w:val="0"/>
          <w:sz w:val="18"/>
          <w:u w:val="none"/>
          <w:vertAlign w:val="baseline"/>
        </w:rPr>
        <w:t xml:space="preserve">. Should the Panel issue an order conditionally transferring these actions to the MDL, Qualcomm at that time may move to vacate the conditional transfer order.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Panel Rule 7.1.</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5" w:name="Bookmark_fnpara_4"/>
      <w:bookmarkEnd w:id="25"/>
      <w:bookmarkStart w:id="26" w:name="Bookmark_I5NFBC0X2SF8HD0040000400"/>
      <w:bookmarkEnd w:id="26"/>
      <w:r>
        <w:rPr>
          <w:rFonts w:ascii="arial" w:eastAsia="arial" w:hAnsi="arial" w:cs="arial"/>
          <w:b w:val="0"/>
          <w:i w:val="0"/>
          <w:strike w:val="0"/>
          <w:noProof w:val="0"/>
          <w:color w:val="000000"/>
          <w:position w:val="0"/>
          <w:sz w:val="18"/>
          <w:u w:val="none"/>
          <w:vertAlign w:val="baseline"/>
        </w:rPr>
        <w:t xml:space="preserve">Apple's contract with Qualcomm contains a forum selection clause specifying that this action be tried in the Southern District of California. Such </w:t>
      </w:r>
      <w:bookmarkStart w:id="27" w:name="Bookmark_LNHNREFclscc1"/>
      <w:bookmarkEnd w:id="27"/>
      <w:hyperlink r:id="rId3" w:history="1">
        <w:r>
          <w:rPr>
            <w:rFonts w:ascii="arial" w:eastAsia="arial" w:hAnsi="arial" w:cs="arial"/>
            <w:b/>
            <w:i/>
            <w:strike w:val="0"/>
            <w:noProof w:val="0"/>
            <w:color w:val="0077CC"/>
            <w:position w:val="0"/>
            <w:sz w:val="18"/>
            <w:u w:val="single"/>
            <w:vertAlign w:val="baseline"/>
          </w:rPr>
          <w:t>HN1</w:t>
        </w:r>
      </w:hyperlink>
      <w:r>
        <w:rPr>
          <w:rFonts w:ascii="arial" w:eastAsia="arial" w:hAnsi="arial" w:cs="arial"/>
          <w:b w:val="0"/>
          <w:i w:val="0"/>
          <w:strike w:val="0"/>
          <w:noProof w:val="0"/>
          <w:color w:val="000000"/>
          <w:position w:val="0"/>
          <w:sz w:val="18"/>
          <w:u w:val="none"/>
          <w:vertAlign w:val="baseline"/>
        </w:rPr>
        <w:t>[</w:t>
      </w:r>
      <w:hyperlink w:anchor="Bookmark_clscc1"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0.5pt;height:10.5pt">
              <v:imagedata r:id="rId4" o:title=""/>
            </v:shape>
          </w:pict>
        </w:r>
      </w:hyperlink>
      <w:r>
        <w:rPr>
          <w:rFonts w:ascii="arial" w:eastAsia="arial" w:hAnsi="arial" w:cs="arial"/>
          <w:b w:val="0"/>
          <w:i w:val="0"/>
          <w:strike w:val="0"/>
          <w:noProof w:val="0"/>
          <w:color w:val="000000"/>
          <w:position w:val="0"/>
          <w:sz w:val="18"/>
          <w:u w:val="none"/>
          <w:vertAlign w:val="baseline"/>
        </w:rPr>
        <w:t xml:space="preserve">] forum selection clauses do not limit the Panel's authority under </w:t>
      </w:r>
      <w:hyperlink r:id="rId1" w:history="1">
        <w:r>
          <w:rPr>
            <w:rFonts w:ascii="arial" w:eastAsia="arial" w:hAnsi="arial" w:cs="arial"/>
            <w:b w:val="0"/>
            <w:i/>
            <w:strike w:val="0"/>
            <w:noProof w:val="0"/>
            <w:color w:val="0077CC"/>
            <w:position w:val="0"/>
            <w:sz w:val="18"/>
            <w:u w:val="single"/>
            <w:vertAlign w:val="baseline"/>
          </w:rPr>
          <w:t>Section 1407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bookmarkStart w:id="28" w:name="Bookmark_I5NFBC0X2SF8HD0030000400"/>
      <w:bookmarkEnd w:id="28"/>
      <w:hyperlink r:id="rId5" w:history="1">
        <w:r>
          <w:rPr>
            <w:rFonts w:ascii="arial" w:eastAsia="arial" w:hAnsi="arial" w:cs="arial"/>
            <w:b w:val="0"/>
            <w:i/>
            <w:strike w:val="0"/>
            <w:noProof w:val="0"/>
            <w:color w:val="0077CC"/>
            <w:position w:val="0"/>
            <w:sz w:val="18"/>
            <w:u w:val="single"/>
            <w:vertAlign w:val="baseline"/>
          </w:rPr>
          <w:t>In re Park W. Galleries, Inc., Mktg. &amp; Sales Practices Litig.</w:t>
        </w:r>
      </w:hyperlink>
      <w:hyperlink r:id="rId5" w:history="1">
        <w:r>
          <w:rPr>
            <w:rFonts w:ascii="arial" w:eastAsia="arial" w:hAnsi="arial" w:cs="arial"/>
            <w:b w:val="0"/>
            <w:i/>
            <w:strike w:val="0"/>
            <w:noProof w:val="0"/>
            <w:color w:val="0077CC"/>
            <w:position w:val="0"/>
            <w:sz w:val="18"/>
            <w:u w:val="single"/>
            <w:vertAlign w:val="baseline"/>
          </w:rPr>
          <w:t>, 655 F. Supp. 2d 1378, 1379 (J.P.M.L. 2009)</w:t>
        </w:r>
      </w:hyperlink>
      <w:r>
        <w:rPr>
          <w:rFonts w:ascii="arial" w:eastAsia="arial" w:hAnsi="arial" w:cs="arial"/>
          <w:b w:val="0"/>
          <w:i w:val="0"/>
          <w:strike w:val="0"/>
          <w:noProof w:val="0"/>
          <w:color w:val="000000"/>
          <w:position w:val="0"/>
          <w:sz w:val="18"/>
          <w:u w:val="none"/>
          <w:vertAlign w:val="baseline"/>
        </w:rPr>
        <w:t>. If Apple's action were transferred to the MDL, though, operation of the forum selection clause would result in claim construction of the subject patents being conducted by the transferee court in the Northern District of California and any trial of those claims proceeding in the Southern District of California. Where, as here, coordination of common discovery is feasible, it is unnecessary to disrupt the orderly litigation of these patent claims.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Qualcomm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N83-HWC1-F04T-800Y-00000-00&amp;context=" TargetMode="External" /><Relationship Id="rId11" Type="http://schemas.openxmlformats.org/officeDocument/2006/relationships/hyperlink" Target="https://advance.lexis.com/api/document?collection=cases&amp;id=urn:contentItem:5NNY-FN01-F04C-T47C-00000-00&amp;context=" TargetMode="External" /><Relationship Id="rId12" Type="http://schemas.openxmlformats.org/officeDocument/2006/relationships/hyperlink" Target="https://advance.lexis.com/api/document?collection=statutes-legislation&amp;id=urn:contentItem:4YF7-GSG1-NRF4-42NR-00000-00&amp;context=" TargetMode="External" /><Relationship Id="rId13" Type="http://schemas.openxmlformats.org/officeDocument/2006/relationships/hyperlink" Target="https://advance.lexis.com/api/document?collection=cases&amp;id=urn:contentItem:5N83-HWC1-F04T-800Y-00000-00&amp;context=&amp;link=LNHNREFclscc1" TargetMode="External" /><Relationship Id="rId14" Type="http://schemas.openxmlformats.org/officeDocument/2006/relationships/image" Target="media/image2.png" /><Relationship Id="rId15"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N8M-D991-DXC8-72RG-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SG1-NRF4-42NR-00000-00&amp;context=" TargetMode="External" /><Relationship Id="rId2" Type="http://schemas.openxmlformats.org/officeDocument/2006/relationships/hyperlink" Target="https://advance.lexis.com/api/document?collection=cases&amp;id=urn:contentItem:52YH-PC21-652X-P02T-00000-00&amp;context=" TargetMode="External" /><Relationship Id="rId3" Type="http://schemas.openxmlformats.org/officeDocument/2006/relationships/hyperlink" Target="https://advance.lexis.com/api/document?collection=cases&amp;id=urn:contentItem:5N83-HWC1-F04T-800Y-00000-00&amp;context=&amp;link=clscc1" TargetMode="External" /><Relationship Id="rId4" Type="http://schemas.openxmlformats.org/officeDocument/2006/relationships/image" Target="media/image3.png" /><Relationship Id="rId5" Type="http://schemas.openxmlformats.org/officeDocument/2006/relationships/hyperlink" Target="https://advance.lexis.com/api/document?collection=cases&amp;id=urn:contentItem:7XR0-FTG0-YB12-4001-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Qualcomm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71343149</vt:lpwstr>
  </property>
  <property fmtid="{D5CDD505-2E9C-101B-9397-08002B2CF9AE}" pid="3" name="LADocCount">
    <vt:lpwstr>1</vt:lpwstr>
  </property>
  <property fmtid="{D5CDD505-2E9C-101B-9397-08002B2CF9AE}" pid="4" name="UserPermID">
    <vt:lpwstr>urn:user:PA185916758</vt:lpwstr>
  </property>
</Properties>
</file>