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Licari Family Chiropractic, Inc. v. Eclinical Works,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Tampa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2017, Decided; November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8:16-cv-3461-T-35JSS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194260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5705793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LICARI FAMILY CHIROPRACTIC INC. and PETER LICARI, Plaintiffs, v. ECLINICAL WORKS, LLC,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denied by, Without prejudice, Motion denied by </w:t>
      </w:r>
      <w:hyperlink r:id="rId10" w:history="1">
        <w:r>
          <w:rPr>
            <w:rFonts w:ascii="arial" w:eastAsia="arial" w:hAnsi="arial" w:cs="arial"/>
            <w:b w:val="0"/>
            <w:i/>
            <w:strike w:val="0"/>
            <w:noProof w:val="0"/>
            <w:color w:val="0077CC"/>
            <w:position w:val="0"/>
            <w:sz w:val="20"/>
            <w:u w:val="single"/>
            <w:vertAlign w:val="baseline"/>
          </w:rPr>
          <w:t>Licari Family Chiropractic v. eClinical Works, LLC, 2018 U.S. Dist. LEXIS 97101 (M.D. Fla., Feb. 16,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sharing agreement, Plaintiffs', parties, fee agreement, Responses, Fax</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Licari Family Chiropractic Inc., a Florida corporation, individually and as the representative of a class of similarly-situated persons, Peter Licari, individually and as the representative of a class of similarly-situated persons, Plaintiffs: Ross M. Good, LEAD ATTORNEY, PRO HAC VICE, Anderson &amp; Wanca, Rolling Meadows, IL; Ryan M. Kelly, LEAD ATTORNEY, Anderson &amp; Wanca, Rolling Meadows,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Eclinical Works, LLC, Eclinicaldirect, LLC, Defendants: Eric P. Schroeder, LEAD ATTORNEY, PRO HAC VICE, Bryan Cave, LLP, Atlanta, GA; Jay L. Krystinik, LEAD ATTORNEY, PRO HAC VICE, Bryan Cave, LLP, Dallas, TX; Zina Gabsi, LEAD ATTORNEY, Bryan Cave,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Max, Mediator: Rodney A. Max, LEAD ATTORNEY, Upchurch, Watson, White &amp; Max, Daytona Beach,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JULIE S. SNEED,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JULIE S. SNEED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Defendant Eclinical Works, LLC's Motion to Compel Discovery Responses ("Motion to Compel") (Dkt. 48) and Plaintiffs' Memorandum of Law in Opposition to Defendant's Motion to Compel Discovery Responses (Dkt. 49). On October 31, 2017, the Court held a hearing on the Motion to Compel. For the reasons stated at the hearing and that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follow, the Motion to Compel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behalf of itself and others similarly situated, Plaintiffs sue Defendant for violations of the </w:t>
      </w:r>
      <w:hyperlink r:id="rId11" w:history="1">
        <w:r>
          <w:rPr>
            <w:rFonts w:ascii="arial" w:eastAsia="arial" w:hAnsi="arial" w:cs="arial"/>
            <w:b w:val="0"/>
            <w:i/>
            <w:strike w:val="0"/>
            <w:noProof w:val="0"/>
            <w:color w:val="0077CC"/>
            <w:position w:val="0"/>
            <w:sz w:val="20"/>
            <w:u w:val="single"/>
            <w:vertAlign w:val="baseline"/>
          </w:rPr>
          <w:t>Telephone Consumer Protection Act ("TCPA"), 47 U.S.C. § 227</w:t>
        </w:r>
      </w:hyperlink>
      <w:r>
        <w:rPr>
          <w:rFonts w:ascii="arial" w:eastAsia="arial" w:hAnsi="arial" w:cs="arial"/>
          <w:b w:val="0"/>
          <w:i w:val="0"/>
          <w:strike w:val="0"/>
          <w:noProof w:val="0"/>
          <w:color w:val="000000"/>
          <w:position w:val="0"/>
          <w:sz w:val="20"/>
          <w:u w:val="none"/>
          <w:vertAlign w:val="baseline"/>
        </w:rPr>
        <w:t xml:space="preserve">, as amended by the </w:t>
      </w:r>
      <w:r>
        <w:rPr>
          <w:rFonts w:ascii="arial" w:eastAsia="arial" w:hAnsi="arial" w:cs="arial"/>
          <w:b w:val="0"/>
          <w:i/>
          <w:strike w:val="0"/>
          <w:noProof w:val="0"/>
          <w:color w:val="000000"/>
          <w:position w:val="0"/>
          <w:sz w:val="20"/>
          <w:u w:val="none"/>
          <w:vertAlign w:val="baseline"/>
        </w:rPr>
        <w:t>Junk Fax Prevention Act of 2005, JUNK FAX PREVENTION ACT OF 2005, PL 109-21, July 9, 2005, 119 Stat 359</w:t>
      </w:r>
      <w:r>
        <w:rPr>
          <w:rFonts w:ascii="arial" w:eastAsia="arial" w:hAnsi="arial" w:cs="arial"/>
          <w:b w:val="0"/>
          <w:i w:val="0"/>
          <w:strike w:val="0"/>
          <w:noProof w:val="0"/>
          <w:color w:val="000000"/>
          <w:position w:val="0"/>
          <w:sz w:val="20"/>
          <w:u w:val="none"/>
          <w:vertAlign w:val="baseline"/>
        </w:rPr>
        <w:t>. (Dkt. 1.) Plaintiffs allege that on February 4, 2014, Defendant sent them unsolicited faxes. (Dkt. 1 ¶ 12.) On April 17, 2017, Defendant served Plaintiffs with its First Requests for Production of Documents and Entry of Inspection ("First Request for Production"). (Dkt. 48-1.) Plaintiffs responded on May 17, 2017. (Dkt. 48-2.) Defendant's Motion to Compel seeks documents responsive to request numbers 55, 56, and 57 of Defendant's First Request for Production. (Dkt. 48.) In their response, Plaintiffs indicated that they do not have any documents responsive to request numbers 56 and 57. (Dkt. 49 at 5.) At the hearing, the parties confirmed that only request number 55 remains in dispute. Request number 55 seeks "[a]ll 'fee sharing' agreements that exist between you and any attorney related to Fax or Phone claims." (Dkt. 48 at 3.) Defendant seeks an order compelling Plaintiffs to provide any fee sharing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agreements made between Plaintiffs and Plaintiffs'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APPLICABLE STANDARDS</w:t>
      </w:r>
    </w:p>
    <w:p>
      <w:pPr>
        <w:keepNext w:val="0"/>
        <w:widowControl w:val="0"/>
        <w:spacing w:before="200" w:after="0" w:line="260" w:lineRule="atLeast"/>
        <w:ind w:left="0" w:right="0" w:firstLine="0"/>
        <w:jc w:val="both"/>
      </w:pPr>
      <w:bookmarkStart w:id="10" w:name="Bookmark_para_3"/>
      <w:bookmarkEnd w:id="10"/>
      <w:bookmarkStart w:id="11" w:name="Bookmark_I5R7FPBS2N1RR80020000400"/>
      <w:bookmarkEnd w:id="11"/>
      <w:r>
        <w:rPr>
          <w:rFonts w:ascii="arial" w:eastAsia="arial" w:hAnsi="arial" w:cs="arial"/>
          <w:b w:val="0"/>
          <w:i w:val="0"/>
          <w:strike w:val="0"/>
          <w:noProof w:val="0"/>
          <w:color w:val="000000"/>
          <w:position w:val="0"/>
          <w:sz w:val="20"/>
          <w:u w:val="none"/>
          <w:vertAlign w:val="baseline"/>
        </w:rPr>
        <w:t xml:space="preserve">Courts maintain great discretion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discovery. </w:t>
      </w:r>
      <w:bookmarkStart w:id="12" w:name="Bookmark_I5R7FPBS2N1RR80040000400"/>
      <w:bookmarkEnd w:id="12"/>
      <w:bookmarkStart w:id="13" w:name="Bookmark_I5R7FPBS2N1RR80010000400"/>
      <w:bookmarkEnd w:id="13"/>
      <w:hyperlink r:id="rId12" w:history="1">
        <w:r>
          <w:rPr>
            <w:rFonts w:ascii="arial" w:eastAsia="arial" w:hAnsi="arial" w:cs="arial"/>
            <w:b w:val="0"/>
            <w:i/>
            <w:strike w:val="0"/>
            <w:noProof w:val="0"/>
            <w:color w:val="0077CC"/>
            <w:position w:val="0"/>
            <w:sz w:val="20"/>
            <w:u w:val="single"/>
            <w:vertAlign w:val="baseline"/>
          </w:rPr>
          <w:t>Patterson v. U.S. Postal Serv.</w:t>
        </w:r>
      </w:hyperlink>
      <w:hyperlink r:id="rId12" w:history="1">
        <w:r>
          <w:rPr>
            <w:rFonts w:ascii="arial" w:eastAsia="arial" w:hAnsi="arial" w:cs="arial"/>
            <w:b w:val="0"/>
            <w:i/>
            <w:strike w:val="0"/>
            <w:noProof w:val="0"/>
            <w:color w:val="0077CC"/>
            <w:position w:val="0"/>
            <w:sz w:val="20"/>
            <w:u w:val="single"/>
            <w:vertAlign w:val="baseline"/>
          </w:rPr>
          <w:t>, 901 F.2d 927, 929 (11th Cir. 1990)</w:t>
        </w:r>
      </w:hyperlink>
      <w:r>
        <w:rPr>
          <w:rFonts w:ascii="arial" w:eastAsia="arial" w:hAnsi="arial" w:cs="arial"/>
          <w:b w:val="0"/>
          <w:i w:val="0"/>
          <w:strike w:val="0"/>
          <w:noProof w:val="0"/>
          <w:color w:val="000000"/>
          <w:position w:val="0"/>
          <w:sz w:val="20"/>
          <w:u w:val="none"/>
          <w:vertAlign w:val="baseline"/>
        </w:rPr>
        <w:t xml:space="preserve">. The court has broad discretion to compel or deny discovery. </w:t>
      </w:r>
      <w:bookmarkStart w:id="14" w:name="Bookmark_I5R7FPBS2N1RR80040000400_2"/>
      <w:bookmarkEnd w:id="14"/>
      <w:bookmarkStart w:id="15" w:name="Bookmark_I5R7FPBS2N1RR80030000400"/>
      <w:bookmarkEnd w:id="15"/>
      <w:hyperlink r:id="rId13" w:history="1">
        <w:r>
          <w:rPr>
            <w:rFonts w:ascii="arial" w:eastAsia="arial" w:hAnsi="arial" w:cs="arial"/>
            <w:b w:val="0"/>
            <w:i/>
            <w:strike w:val="0"/>
            <w:noProof w:val="0"/>
            <w:color w:val="0077CC"/>
            <w:position w:val="0"/>
            <w:sz w:val="20"/>
            <w:u w:val="single"/>
            <w:vertAlign w:val="baseline"/>
          </w:rPr>
          <w:t>Josendis v. Wall to Wall Residence Repairs, Inc.</w:t>
        </w:r>
      </w:hyperlink>
      <w:hyperlink r:id="rId13" w:history="1">
        <w:r>
          <w:rPr>
            <w:rFonts w:ascii="arial" w:eastAsia="arial" w:hAnsi="arial" w:cs="arial"/>
            <w:b w:val="0"/>
            <w:i/>
            <w:strike w:val="0"/>
            <w:noProof w:val="0"/>
            <w:color w:val="0077CC"/>
            <w:position w:val="0"/>
            <w:sz w:val="20"/>
            <w:u w:val="single"/>
            <w:vertAlign w:val="baseline"/>
          </w:rPr>
          <w:t>, 662 F.3d 1292, 1306 (11th Cir. 2011)</w:t>
        </w:r>
      </w:hyperlink>
      <w:r>
        <w:rPr>
          <w:rFonts w:ascii="arial" w:eastAsia="arial" w:hAnsi="arial" w:cs="arial"/>
          <w:b w:val="0"/>
          <w:i w:val="0"/>
          <w:strike w:val="0"/>
          <w:noProof w:val="0"/>
          <w:color w:val="000000"/>
          <w:position w:val="0"/>
          <w:sz w:val="20"/>
          <w:u w:val="none"/>
          <w:vertAlign w:val="baseline"/>
        </w:rPr>
        <w:t xml:space="preserve">. Through discovery, parties may obtain materials that are within the scope of discovery, meaning they are nonprivileged, relevant to any party's claim or defense, and proportional to the needs of the case.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Federal Rule of Civil Procedure 37</w:t>
        </w:r>
      </w:hyperlink>
      <w:r>
        <w:rPr>
          <w:rFonts w:ascii="arial" w:eastAsia="arial" w:hAnsi="arial" w:cs="arial"/>
          <w:b w:val="0"/>
          <w:i w:val="0"/>
          <w:strike w:val="0"/>
          <w:noProof w:val="0"/>
          <w:color w:val="000000"/>
          <w:position w:val="0"/>
          <w:sz w:val="20"/>
          <w:u w:val="none"/>
          <w:vertAlign w:val="baseline"/>
        </w:rPr>
        <w:t xml:space="preserve"> allows any party "on notice to other parties and all affected persons . . . [to] move for an order compelling disclosure or discovery."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 xml:space="preserve">In its Motion to Compel, Defendant seeks to compel Plaintiffs to produce all fee sharing agreements they have entered into with "any attorney" representing them in matters involving "Fax or Phone claims." (Dkt. 48 at 3.) Defendant maintains that the requested fee sharing agreements are relevant to the determination of the class certification issues in dispute in the case. (Dkt. 48 at 5.) Specifically, at the hearing, Defendant argued that fee sharing agreements are relevant to determining the adequacy of representation of the class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Defendant argued that it is entitled to any fee sharing agreements between Plaintiffs and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counsel because if the class representative and Plaintiffs' counsel have any such agreement, the class representative may be pursuing its own interests and not the interests of the class. According to Defendant, this antagonistic interest could preclude class certification. In response, Plaintiffs argue that fee agreements are not relevant and Defendant fails to establish good cause to compel such discovery. (Dkt. 49 at 2-3.) Plaintiffs further argued at the hearing that fee agreements do not have bearing on the outcome of this case.</w:t>
      </w:r>
    </w:p>
    <w:p>
      <w:pPr>
        <w:keepNext w:val="0"/>
        <w:widowControl w:val="0"/>
        <w:spacing w:before="240" w:after="0" w:line="260" w:lineRule="atLeast"/>
        <w:ind w:left="0" w:right="0" w:firstLine="0"/>
        <w:jc w:val="both"/>
      </w:pPr>
      <w:bookmarkStart w:id="17" w:name="Bookmark_para_5"/>
      <w:bookmarkEnd w:id="17"/>
      <w:bookmarkStart w:id="18" w:name="Bookmark_I5R7FPBS2HM6KY0010000400"/>
      <w:bookmarkEnd w:id="18"/>
      <w:r>
        <w:rPr>
          <w:rFonts w:ascii="arial" w:eastAsia="arial" w:hAnsi="arial" w:cs="arial"/>
          <w:b w:val="0"/>
          <w:i w:val="0"/>
          <w:strike w:val="0"/>
          <w:noProof w:val="0"/>
          <w:color w:val="000000"/>
          <w:position w:val="0"/>
          <w:sz w:val="20"/>
          <w:u w:val="none"/>
          <w:vertAlign w:val="baseline"/>
        </w:rPr>
        <w:t xml:space="preserve">Plaintiffs bear the burden of establishing that the requirements for class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met. </w:t>
      </w:r>
      <w:bookmarkStart w:id="19" w:name="Bookmark_I5R7FPBS2N1RR80050000400"/>
      <w:bookmarkEnd w:id="19"/>
      <w:hyperlink r:id="rId15" w:history="1">
        <w:r>
          <w:rPr>
            <w:rFonts w:ascii="arial" w:eastAsia="arial" w:hAnsi="arial" w:cs="arial"/>
            <w:b w:val="0"/>
            <w:i/>
            <w:strike w:val="0"/>
            <w:noProof w:val="0"/>
            <w:color w:val="0077CC"/>
            <w:position w:val="0"/>
            <w:sz w:val="20"/>
            <w:u w:val="single"/>
            <w:vertAlign w:val="baseline"/>
          </w:rPr>
          <w:t>Rutstein v. Avis Rent-A-Car Sys., Inc.</w:t>
        </w:r>
      </w:hyperlink>
      <w:hyperlink r:id="rId15" w:history="1">
        <w:r>
          <w:rPr>
            <w:rFonts w:ascii="arial" w:eastAsia="arial" w:hAnsi="arial" w:cs="arial"/>
            <w:b w:val="0"/>
            <w:i/>
            <w:strike w:val="0"/>
            <w:noProof w:val="0"/>
            <w:color w:val="0077CC"/>
            <w:position w:val="0"/>
            <w:sz w:val="20"/>
            <w:u w:val="single"/>
            <w:vertAlign w:val="baseline"/>
          </w:rPr>
          <w:t>, 211 F.3d 1228, 1233 (11th Cir. 2000)</w:t>
        </w:r>
      </w:hyperlink>
      <w:r>
        <w:rPr>
          <w:rFonts w:ascii="arial" w:eastAsia="arial" w:hAnsi="arial" w:cs="arial"/>
          <w:b w:val="0"/>
          <w:i w:val="0"/>
          <w:strike w:val="0"/>
          <w:noProof w:val="0"/>
          <w:color w:val="000000"/>
          <w:position w:val="0"/>
          <w:sz w:val="20"/>
          <w:u w:val="none"/>
          <w:vertAlign w:val="baseline"/>
        </w:rPr>
        <w:t xml:space="preserve">. To sue as a class, the following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must be met:</w:t>
      </w:r>
    </w:p>
    <w:p>
      <w:pPr>
        <w:keepNext w:val="0"/>
        <w:widowControl w:val="0"/>
        <w:spacing w:after="0" w:line="260" w:lineRule="atLeast"/>
        <w:ind w:left="400" w:right="0" w:firstLine="0"/>
        <w:jc w:val="both"/>
      </w:pPr>
      <w:bookmarkStart w:id="20" w:name="Bookmark_para_6"/>
      <w:bookmarkEnd w:id="20"/>
      <w:bookmarkStart w:id="21" w:name="Bookmark_I5R7FPBS2HM6KY0010000400_2"/>
      <w:bookmarkEnd w:id="21"/>
      <w:r>
        <w:rPr>
          <w:rFonts w:ascii="arial" w:eastAsia="arial" w:hAnsi="arial" w:cs="arial"/>
          <w:b w:val="0"/>
          <w:i w:val="0"/>
          <w:strike w:val="0"/>
          <w:noProof w:val="0"/>
          <w:color w:val="000000"/>
          <w:position w:val="0"/>
          <w:sz w:val="20"/>
          <w:u w:val="none"/>
          <w:vertAlign w:val="baseline"/>
        </w:rPr>
        <w:t>(1)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bookmarkStart w:id="22" w:name="Bookmark_I5R7FPBS2HM6KY0030000400"/>
      <w:bookmarkEnd w:id="22"/>
      <w:r>
        <w:rPr>
          <w:rFonts w:ascii="arial" w:eastAsia="arial" w:hAnsi="arial" w:cs="arial"/>
          <w:b w:val="0"/>
          <w:i w:val="0"/>
          <w:strike w:val="0"/>
          <w:noProof w:val="0"/>
          <w:color w:val="000000"/>
          <w:position w:val="0"/>
          <w:sz w:val="20"/>
          <w:u w:val="none"/>
          <w:vertAlign w:val="baseline"/>
        </w:rPr>
        <w:t xml:space="preserve">Thus, maintaining a class action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With regard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the named plaintiffs acting as class representatives, courts determine whether any substantial conflicts of interest exist between the class representative and putative class members. </w:t>
      </w:r>
      <w:bookmarkStart w:id="23" w:name="Bookmark_I52BB73HWK9000YSM3X0000S"/>
      <w:bookmarkEnd w:id="23"/>
      <w:bookmarkStart w:id="24" w:name="Bookmark_I5R7FPBS2SF7S10010000400"/>
      <w:bookmarkEnd w:id="24"/>
      <w:bookmarkStart w:id="25" w:name="Bookmark_I5R7FPBS2HM6KY0020000400"/>
      <w:bookmarkEnd w:id="25"/>
      <w:hyperlink r:id="rId16" w:history="1">
        <w:r>
          <w:rPr>
            <w:rFonts w:ascii="arial" w:eastAsia="arial" w:hAnsi="arial" w:cs="arial"/>
            <w:b w:val="0"/>
            <w:i/>
            <w:strike w:val="0"/>
            <w:noProof w:val="0"/>
            <w:color w:val="0077CC"/>
            <w:position w:val="0"/>
            <w:sz w:val="20"/>
            <w:u w:val="single"/>
            <w:vertAlign w:val="baseline"/>
          </w:rPr>
          <w:t>Kirkpatrick v. J.C. Bradford &amp; Co.</w:t>
        </w:r>
      </w:hyperlink>
      <w:hyperlink r:id="rId16" w:history="1">
        <w:r>
          <w:rPr>
            <w:rFonts w:ascii="arial" w:eastAsia="arial" w:hAnsi="arial" w:cs="arial"/>
            <w:b w:val="0"/>
            <w:i/>
            <w:strike w:val="0"/>
            <w:noProof w:val="0"/>
            <w:color w:val="0077CC"/>
            <w:position w:val="0"/>
            <w:sz w:val="20"/>
            <w:u w:val="single"/>
            <w:vertAlign w:val="baseline"/>
          </w:rPr>
          <w:t>, 827 F.2d 718, 726 (11th Cir. 1987)</w:t>
        </w:r>
      </w:hyperlink>
      <w:r>
        <w:rPr>
          <w:rFonts w:ascii="arial" w:eastAsia="arial" w:hAnsi="arial" w:cs="arial"/>
          <w:b w:val="0"/>
          <w:i w:val="0"/>
          <w:strike w:val="0"/>
          <w:noProof w:val="0"/>
          <w:color w:val="000000"/>
          <w:position w:val="0"/>
          <w:sz w:val="20"/>
          <w:u w:val="none"/>
          <w:vertAlign w:val="baseline"/>
        </w:rPr>
        <w:t xml:space="preserve">; </w:t>
      </w:r>
      <w:bookmarkStart w:id="26" w:name="Bookmark_I5R7FPBS2HM6KY0040000400"/>
      <w:bookmarkEnd w:id="26"/>
      <w:hyperlink r:id="rId17" w:history="1">
        <w:r>
          <w:rPr>
            <w:rFonts w:ascii="arial" w:eastAsia="arial" w:hAnsi="arial" w:cs="arial"/>
            <w:b w:val="0"/>
            <w:i/>
            <w:strike w:val="0"/>
            <w:noProof w:val="0"/>
            <w:color w:val="0077CC"/>
            <w:position w:val="0"/>
            <w:sz w:val="20"/>
            <w:u w:val="single"/>
            <w:vertAlign w:val="baseline"/>
          </w:rPr>
          <w:t>Griffin v. Carlin</w:t>
        </w:r>
      </w:hyperlink>
      <w:hyperlink r:id="rId17" w:history="1">
        <w:r>
          <w:rPr>
            <w:rFonts w:ascii="arial" w:eastAsia="arial" w:hAnsi="arial" w:cs="arial"/>
            <w:b w:val="0"/>
            <w:i/>
            <w:strike w:val="0"/>
            <w:noProof w:val="0"/>
            <w:color w:val="0077CC"/>
            <w:position w:val="0"/>
            <w:sz w:val="20"/>
            <w:u w:val="single"/>
            <w:vertAlign w:val="baseline"/>
          </w:rPr>
          <w:t>, 755 F.2d 1516, 1532 (11th Cir. 1985)</w:t>
        </w:r>
      </w:hyperlink>
      <w:r>
        <w:rPr>
          <w:rFonts w:ascii="arial" w:eastAsia="arial" w:hAnsi="arial" w:cs="arial"/>
          <w:b w:val="0"/>
          <w:i w:val="0"/>
          <w:strike w:val="0"/>
          <w:noProof w:val="0"/>
          <w:color w:val="000000"/>
          <w:position w:val="0"/>
          <w:sz w:val="20"/>
          <w:u w:val="none"/>
          <w:vertAlign w:val="baseline"/>
        </w:rPr>
        <w:t xml:space="preserve">; </w:t>
      </w:r>
      <w:bookmarkStart w:id="27" w:name="Bookmark_I5R7FPBS2D6NX20010000400"/>
      <w:bookmarkEnd w:id="27"/>
      <w:hyperlink r:id="rId18" w:history="1">
        <w:r>
          <w:rPr>
            <w:rFonts w:ascii="arial" w:eastAsia="arial" w:hAnsi="arial" w:cs="arial"/>
            <w:b w:val="0"/>
            <w:i/>
            <w:strike w:val="0"/>
            <w:noProof w:val="0"/>
            <w:color w:val="0077CC"/>
            <w:position w:val="0"/>
            <w:sz w:val="20"/>
            <w:u w:val="single"/>
            <w:vertAlign w:val="baseline"/>
          </w:rPr>
          <w:t>Miller v. Wells Fargo Bank N.A.</w:t>
        </w:r>
      </w:hyperlink>
      <w:hyperlink r:id="rId18" w:history="1">
        <w:r>
          <w:rPr>
            <w:rFonts w:ascii="arial" w:eastAsia="arial" w:hAnsi="arial" w:cs="arial"/>
            <w:b w:val="0"/>
            <w:i/>
            <w:strike w:val="0"/>
            <w:noProof w:val="0"/>
            <w:color w:val="0077CC"/>
            <w:position w:val="0"/>
            <w:sz w:val="20"/>
            <w:u w:val="single"/>
            <w:vertAlign w:val="baseline"/>
          </w:rPr>
          <w:t>, No. 1:16-cv-21145-UU, 2017 U.S. Dist. LEXIS 24572, 2017 WL 698520, at *6 (S.D. Fla. Feb. 22, 2017)</w:t>
        </w:r>
      </w:hyperlink>
      <w:r>
        <w:rPr>
          <w:rFonts w:ascii="arial" w:eastAsia="arial" w:hAnsi="arial" w:cs="arial"/>
          <w:b w:val="0"/>
          <w:i w:val="0"/>
          <w:strike w:val="0"/>
          <w:noProof w:val="0"/>
          <w:color w:val="000000"/>
          <w:position w:val="0"/>
          <w:sz w:val="20"/>
          <w:u w:val="none"/>
          <w:vertAlign w:val="baseline"/>
        </w:rPr>
        <w:t xml:space="preserve">; </w:t>
      </w:r>
      <w:bookmarkStart w:id="28" w:name="Bookmark_I5R7FPBS2D6NX20030000400"/>
      <w:bookmarkEnd w:id="28"/>
      <w:hyperlink r:id="rId19" w:history="1">
        <w:r>
          <w:rPr>
            <w:rFonts w:ascii="arial" w:eastAsia="arial" w:hAnsi="arial" w:cs="arial"/>
            <w:b w:val="0"/>
            <w:i/>
            <w:strike w:val="0"/>
            <w:noProof w:val="0"/>
            <w:color w:val="0077CC"/>
            <w:position w:val="0"/>
            <w:sz w:val="20"/>
            <w:u w:val="single"/>
            <w:vertAlign w:val="baseline"/>
          </w:rPr>
          <w:t>In re Takata Airbag Products Liability Litigation</w:t>
        </w:r>
      </w:hyperlink>
      <w:hyperlink r:id="rId19" w:history="1">
        <w:r>
          <w:rPr>
            <w:rFonts w:ascii="arial" w:eastAsia="arial" w:hAnsi="arial" w:cs="arial"/>
            <w:b w:val="0"/>
            <w:i/>
            <w:strike w:val="0"/>
            <w:noProof w:val="0"/>
            <w:color w:val="0077CC"/>
            <w:position w:val="0"/>
            <w:sz w:val="20"/>
            <w:u w:val="single"/>
            <w:vertAlign w:val="baseline"/>
          </w:rPr>
          <w:t>, No. 15-2599, 2016 U.S. Dist. LEXIS 184186, 2016 WL 5844309, at *4 (S.D. Fla. May 23, 2016)</w:t>
        </w:r>
      </w:hyperlink>
      <w:r>
        <w:rPr>
          <w:rFonts w:ascii="arial" w:eastAsia="arial" w:hAnsi="arial" w:cs="arial"/>
          <w:b w:val="0"/>
          <w:i w:val="0"/>
          <w:strike w:val="0"/>
          <w:noProof w:val="0"/>
          <w:color w:val="000000"/>
          <w:position w:val="0"/>
          <w:sz w:val="20"/>
          <w:u w:val="none"/>
          <w:vertAlign w:val="baseline"/>
        </w:rPr>
        <w:t xml:space="preserve">. </w:t>
      </w:r>
      <w:bookmarkStart w:id="29" w:name="Bookmark_I5R7FPBS2SF7S10010000400_2"/>
      <w:bookmarkEnd w:id="29"/>
      <w:r>
        <w:rPr>
          <w:rFonts w:ascii="arial" w:eastAsia="arial" w:hAnsi="arial" w:cs="arial"/>
          <w:b w:val="0"/>
          <w:i w:val="0"/>
          <w:strike w:val="0"/>
          <w:noProof w:val="0"/>
          <w:color w:val="000000"/>
          <w:position w:val="0"/>
          <w:sz w:val="20"/>
          <w:u w:val="none"/>
          <w:vertAlign w:val="baseline"/>
        </w:rPr>
        <w:t xml:space="preserve">The question rests upon "whether Plaintiff and putative class members have 'antagonistic or conflicting claims,' such that Plaintiff cannot fairly and adequately" represent putative class members. </w:t>
      </w:r>
      <w:bookmarkStart w:id="30" w:name="Bookmark_I5R7FPBS2D6NX20050000400"/>
      <w:bookmarkEnd w:id="30"/>
      <w:hyperlink r:id="rId18" w:history="1">
        <w:r>
          <w:rPr>
            <w:rFonts w:ascii="arial" w:eastAsia="arial" w:hAnsi="arial" w:cs="arial"/>
            <w:b w:val="0"/>
            <w:i/>
            <w:strike w:val="0"/>
            <w:noProof w:val="0"/>
            <w:color w:val="0077CC"/>
            <w:position w:val="0"/>
            <w:sz w:val="20"/>
            <w:u w:val="single"/>
            <w:vertAlign w:val="baseline"/>
          </w:rPr>
          <w:t>Miller</w:t>
        </w:r>
      </w:hyperlink>
      <w:hyperlink r:id="rId18" w:history="1">
        <w:r>
          <w:rPr>
            <w:rFonts w:ascii="arial" w:eastAsia="arial" w:hAnsi="arial" w:cs="arial"/>
            <w:b w:val="0"/>
            <w:i/>
            <w:strike w:val="0"/>
            <w:noProof w:val="0"/>
            <w:color w:val="0077CC"/>
            <w:position w:val="0"/>
            <w:sz w:val="20"/>
            <w:u w:val="single"/>
            <w:vertAlign w:val="baseline"/>
          </w:rPr>
          <w:t>, No. 1:16-cv-21145-UU, 2017 U.S. Dist. LEXIS 24572, 2017 WL 698520, at *7</w:t>
        </w:r>
      </w:hyperlink>
      <w:r>
        <w:rPr>
          <w:rFonts w:ascii="arial" w:eastAsia="arial" w:hAnsi="arial" w:cs="arial"/>
          <w:b w:val="0"/>
          <w:i w:val="0"/>
          <w:strike w:val="0"/>
          <w:noProof w:val="0"/>
          <w:color w:val="000000"/>
          <w:position w:val="0"/>
          <w:sz w:val="20"/>
          <w:u w:val="none"/>
          <w:vertAlign w:val="baseline"/>
        </w:rPr>
        <w:t xml:space="preserve"> (citing </w:t>
      </w:r>
      <w:bookmarkStart w:id="31" w:name="Bookmark_I5R7FPBS2SF7S10020000400"/>
      <w:bookmarkEnd w:id="31"/>
      <w:hyperlink r:id="rId20" w:history="1">
        <w:r>
          <w:rPr>
            <w:rFonts w:ascii="arial" w:eastAsia="arial" w:hAnsi="arial" w:cs="arial"/>
            <w:b w:val="0"/>
            <w:i/>
            <w:strike w:val="0"/>
            <w:noProof w:val="0"/>
            <w:color w:val="0077CC"/>
            <w:position w:val="0"/>
            <w:sz w:val="20"/>
            <w:u w:val="single"/>
            <w:vertAlign w:val="baseline"/>
          </w:rPr>
          <w:t>Rosario v. Livaditis</w:t>
        </w:r>
      </w:hyperlink>
      <w:hyperlink r:id="rId20" w:history="1">
        <w:r>
          <w:rPr>
            <w:rFonts w:ascii="arial" w:eastAsia="arial" w:hAnsi="arial" w:cs="arial"/>
            <w:b w:val="0"/>
            <w:i/>
            <w:strike w:val="0"/>
            <w:noProof w:val="0"/>
            <w:color w:val="0077CC"/>
            <w:position w:val="0"/>
            <w:sz w:val="20"/>
            <w:u w:val="single"/>
            <w:vertAlign w:val="baseline"/>
          </w:rPr>
          <w:t>, 963 F.2d 1013, 1018 (7th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7"/>
      <w:bookmarkEnd w:id="32"/>
      <w:bookmarkStart w:id="33" w:name="Bookmark_I52BB73J6H9000YSM3X0000V"/>
      <w:bookmarkEnd w:id="33"/>
      <w:bookmarkStart w:id="34" w:name="Bookmark_I5R7FPBS2SF7S10050000400"/>
      <w:bookmarkEnd w:id="34"/>
      <w:r>
        <w:rPr>
          <w:rFonts w:ascii="arial" w:eastAsia="arial" w:hAnsi="arial" w:cs="arial"/>
          <w:b w:val="0"/>
          <w:i w:val="0"/>
          <w:strike w:val="0"/>
          <w:noProof w:val="0"/>
          <w:color w:val="000000"/>
          <w:position w:val="0"/>
          <w:sz w:val="20"/>
          <w:u w:val="none"/>
          <w:vertAlign w:val="baseline"/>
        </w:rPr>
        <w:t xml:space="preserve">Here, there is no indication that the fee agreement between Plaintiffs and Plaintiffs' counsel creates a conflict of interest in which Plaintiffs' interests are antagonistic to or in conflict with putative class members' interests. Thus, Defendant has not presented evidence of a potential conflict that would warrant compelled production of fee agreements. </w:t>
      </w:r>
      <w:bookmarkStart w:id="35" w:name="Bookmark_I5R7FPBS2SF7S10040000400"/>
      <w:bookmarkEnd w:id="35"/>
      <w:hyperlink r:id="rId19" w:history="1">
        <w:r>
          <w:rPr>
            <w:rFonts w:ascii="arial" w:eastAsia="arial" w:hAnsi="arial" w:cs="arial"/>
            <w:b w:val="0"/>
            <w:i/>
            <w:strike w:val="0"/>
            <w:noProof w:val="0"/>
            <w:color w:val="0077CC"/>
            <w:position w:val="0"/>
            <w:sz w:val="20"/>
            <w:u w:val="single"/>
            <w:vertAlign w:val="baseline"/>
          </w:rPr>
          <w:t>In re Takata Airbag Products Liability Litigation</w:t>
        </w:r>
      </w:hyperlink>
      <w:hyperlink r:id="rId19" w:history="1">
        <w:r>
          <w:rPr>
            <w:rFonts w:ascii="arial" w:eastAsia="arial" w:hAnsi="arial" w:cs="arial"/>
            <w:b w:val="0"/>
            <w:i/>
            <w:strike w:val="0"/>
            <w:noProof w:val="0"/>
            <w:color w:val="0077CC"/>
            <w:position w:val="0"/>
            <w:sz w:val="20"/>
            <w:u w:val="single"/>
            <w:vertAlign w:val="baseline"/>
          </w:rPr>
          <w:t>, No. 15-2599, 2016 U.S. Dist. LEXIS 184186, 2016 WL 5844309, at *4</w:t>
        </w:r>
      </w:hyperlink>
      <w:r>
        <w:rPr>
          <w:rFonts w:ascii="arial" w:eastAsia="arial" w:hAnsi="arial" w:cs="arial"/>
          <w:b w:val="0"/>
          <w:i w:val="0"/>
          <w:strike w:val="0"/>
          <w:noProof w:val="0"/>
          <w:color w:val="000000"/>
          <w:position w:val="0"/>
          <w:sz w:val="20"/>
          <w:u w:val="none"/>
          <w:vertAlign w:val="baseline"/>
        </w:rPr>
        <w:t xml:space="preserve"> (finding engagement letters in class action lawsuits "are not typically relevant, absent an indication that there is a conflict of interest"). </w:t>
      </w:r>
      <w:r>
        <w:rPr>
          <w:rFonts w:ascii="arial" w:eastAsia="arial" w:hAnsi="arial" w:cs="arial"/>
          <w:b w:val="0"/>
          <w:i w:val="0"/>
          <w:strike w:val="0"/>
          <w:noProof w:val="0"/>
          <w:color w:val="000000"/>
          <w:position w:val="0"/>
          <w:sz w:val="20"/>
          <w:u w:val="none"/>
          <w:vertAlign w:val="baseline"/>
        </w:rPr>
        <w:t>In fact, Defendant has made no showing in this regard whatsoever.</w:t>
      </w:r>
    </w:p>
    <w:p>
      <w:pPr>
        <w:keepNext w:val="0"/>
        <w:widowControl w:val="0"/>
        <w:spacing w:before="240" w:after="0" w:line="260" w:lineRule="atLeast"/>
        <w:ind w:left="0" w:right="0" w:firstLine="0"/>
        <w:jc w:val="both"/>
      </w:pPr>
      <w:bookmarkStart w:id="36" w:name="Bookmark_para_8"/>
      <w:bookmarkEnd w:id="36"/>
      <w:bookmarkStart w:id="37" w:name="Bookmark_I5R7FPBS2N1RR90020000400"/>
      <w:bookmarkEnd w:id="37"/>
      <w:r>
        <w:rPr>
          <w:rFonts w:ascii="arial" w:eastAsia="arial" w:hAnsi="arial" w:cs="arial"/>
          <w:b w:val="0"/>
          <w:i w:val="0"/>
          <w:strike w:val="0"/>
          <w:noProof w:val="0"/>
          <w:color w:val="000000"/>
          <w:position w:val="0"/>
          <w:sz w:val="20"/>
          <w:u w:val="none"/>
          <w:vertAlign w:val="baseline"/>
        </w:rPr>
        <w:t>Maintaining this action on a class-wide basis also requires an analysis of the adequacy of the putative class' counsel. The court must determine whether "plaintiffs'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counsel are qualified, experienced, and generally able to conduct the proposed litigation." </w:t>
      </w:r>
      <w:bookmarkStart w:id="38" w:name="Bookmark_I5R7FPBS2N1RR90010000400"/>
      <w:bookmarkEnd w:id="38"/>
      <w:hyperlink r:id="rId16" w:history="1">
        <w:r>
          <w:rPr>
            <w:rFonts w:ascii="arial" w:eastAsia="arial" w:hAnsi="arial" w:cs="arial"/>
            <w:b w:val="0"/>
            <w:i/>
            <w:strike w:val="0"/>
            <w:noProof w:val="0"/>
            <w:color w:val="0077CC"/>
            <w:position w:val="0"/>
            <w:sz w:val="20"/>
            <w:u w:val="single"/>
            <w:vertAlign w:val="baseline"/>
          </w:rPr>
          <w:t>Kirkpatrick</w:t>
        </w:r>
      </w:hyperlink>
      <w:hyperlink r:id="rId16" w:history="1">
        <w:r>
          <w:rPr>
            <w:rFonts w:ascii="arial" w:eastAsia="arial" w:hAnsi="arial" w:cs="arial"/>
            <w:b w:val="0"/>
            <w:i/>
            <w:strike w:val="0"/>
            <w:noProof w:val="0"/>
            <w:color w:val="0077CC"/>
            <w:position w:val="0"/>
            <w:sz w:val="20"/>
            <w:u w:val="single"/>
            <w:vertAlign w:val="baseline"/>
          </w:rPr>
          <w:t>, 827 F.2d at 726</w:t>
        </w:r>
      </w:hyperlink>
      <w:r>
        <w:rPr>
          <w:rFonts w:ascii="arial" w:eastAsia="arial" w:hAnsi="arial" w:cs="arial"/>
          <w:b w:val="0"/>
          <w:i w:val="0"/>
          <w:strike w:val="0"/>
          <w:noProof w:val="0"/>
          <w:color w:val="000000"/>
          <w:position w:val="0"/>
          <w:sz w:val="20"/>
          <w:u w:val="none"/>
          <w:vertAlign w:val="baseline"/>
        </w:rPr>
        <w:t>. Defendant does not dispute that Plaintiffs' counsel are qualified, experienced and capable of conducting the proposed litigation. Thus, the discovery Defendant seeks is neither relevant to a matter in dispute nor proportional to the needs of the case. Moreover, the requested fee sharing agreements would have no bearing on the qualifications or experience of Plaintiffs' counsel.</w:t>
      </w:r>
    </w:p>
    <w:p>
      <w:pPr>
        <w:keepNext w:val="0"/>
        <w:widowControl w:val="0"/>
        <w:spacing w:before="240" w:after="0" w:line="260" w:lineRule="atLeast"/>
        <w:ind w:left="0" w:right="0" w:firstLine="0"/>
        <w:jc w:val="both"/>
      </w:pPr>
      <w:bookmarkStart w:id="39" w:name="Bookmark_para_9"/>
      <w:bookmarkEnd w:id="39"/>
      <w:bookmarkStart w:id="40" w:name="Bookmark_I5R7FPBS2N1RR90040000400"/>
      <w:bookmarkEnd w:id="40"/>
      <w:bookmarkStart w:id="41" w:name="Bookmark_I5R7FPBS2HM6M00030000400"/>
      <w:bookmarkEnd w:id="41"/>
      <w:r>
        <w:rPr>
          <w:rFonts w:ascii="arial" w:eastAsia="arial" w:hAnsi="arial" w:cs="arial"/>
          <w:b w:val="0"/>
          <w:i w:val="0"/>
          <w:strike w:val="0"/>
          <w:noProof w:val="0"/>
          <w:color w:val="000000"/>
          <w:position w:val="0"/>
          <w:sz w:val="20"/>
          <w:u w:val="none"/>
          <w:vertAlign w:val="baseline"/>
        </w:rPr>
        <w:t xml:space="preserve">The fee sharing agreements sought here are neither relevant to either party's claim or defense, nor proportional to the needs of the case.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 w:name="Bookmark_I5R7FPBS2N1RR90030000400"/>
      <w:bookmarkEnd w:id="42"/>
      <w:r>
        <w:rPr>
          <w:rFonts w:ascii="arial" w:eastAsia="arial" w:hAnsi="arial" w:cs="arial"/>
          <w:b w:val="0"/>
          <w:i/>
          <w:strike w:val="0"/>
          <w:noProof w:val="0"/>
          <w:color w:val="000000"/>
          <w:position w:val="0"/>
          <w:sz w:val="20"/>
          <w:u w:val="none"/>
          <w:vertAlign w:val="baseline"/>
        </w:rPr>
        <w:t xml:space="preserve">In re Nissan Motor Corp.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74CV1652, 1975 WL 166141, *2 (S.D. Fla. June 4, 1975); </w:t>
      </w:r>
      <w:r>
        <w:rPr>
          <w:rFonts w:ascii="arial" w:eastAsia="arial" w:hAnsi="arial" w:cs="arial"/>
          <w:b w:val="0"/>
          <w:i/>
          <w:strike w:val="0"/>
          <w:noProof w:val="0"/>
          <w:color w:val="000000"/>
          <w:position w:val="0"/>
          <w:sz w:val="20"/>
          <w:u w:val="none"/>
          <w:vertAlign w:val="baseline"/>
        </w:rPr>
        <w:t xml:space="preserve">see also </w:t>
      </w:r>
      <w:bookmarkStart w:id="43" w:name="Bookmark_I5R7FPBS2N1RR90050000400"/>
      <w:bookmarkEnd w:id="43"/>
      <w:hyperlink r:id="rId21" w:history="1">
        <w:r>
          <w:rPr>
            <w:rFonts w:ascii="arial" w:eastAsia="arial" w:hAnsi="arial" w:cs="arial"/>
            <w:b w:val="0"/>
            <w:i/>
            <w:strike w:val="0"/>
            <w:noProof w:val="0"/>
            <w:color w:val="0077CC"/>
            <w:position w:val="0"/>
            <w:sz w:val="20"/>
            <w:u w:val="single"/>
            <w:vertAlign w:val="baseline"/>
          </w:rPr>
          <w:t>Bowling v. Pfizer, Inc.</w:t>
        </w:r>
      </w:hyperlink>
      <w:hyperlink r:id="rId21" w:history="1">
        <w:r>
          <w:rPr>
            <w:rFonts w:ascii="arial" w:eastAsia="arial" w:hAnsi="arial" w:cs="arial"/>
            <w:b w:val="0"/>
            <w:i/>
            <w:strike w:val="0"/>
            <w:noProof w:val="0"/>
            <w:color w:val="0077CC"/>
            <w:position w:val="0"/>
            <w:sz w:val="20"/>
            <w:u w:val="single"/>
            <w:vertAlign w:val="baseline"/>
          </w:rPr>
          <w:t>, 102 F.3d 777, 781 (6th Cir. 1996)</w:t>
        </w:r>
      </w:hyperlink>
      <w:r>
        <w:rPr>
          <w:rFonts w:ascii="arial" w:eastAsia="arial" w:hAnsi="arial" w:cs="arial"/>
          <w:b w:val="0"/>
          <w:i w:val="0"/>
          <w:strike w:val="0"/>
          <w:noProof w:val="0"/>
          <w:color w:val="000000"/>
          <w:position w:val="0"/>
          <w:sz w:val="20"/>
          <w:u w:val="none"/>
          <w:vertAlign w:val="baseline"/>
        </w:rPr>
        <w:t xml:space="preserve">. Therefore, Defendant's request is outside the scope of discovery. </w:t>
      </w:r>
      <w:r>
        <w:rPr>
          <w:rFonts w:ascii="arial" w:eastAsia="arial" w:hAnsi="arial" w:cs="arial"/>
          <w:b w:val="0"/>
          <w:i/>
          <w:strike w:val="0"/>
          <w:noProof w:val="0"/>
          <w:color w:val="000000"/>
          <w:position w:val="0"/>
          <w:sz w:val="20"/>
          <w:u w:val="none"/>
          <w:vertAlign w:val="baseline"/>
        </w:rPr>
        <w:t xml:space="preserve">See </w:t>
      </w:r>
      <w:bookmarkStart w:id="44" w:name="Bookmark_I5R7FPBS2HM6M00020000400"/>
      <w:bookmarkEnd w:id="44"/>
      <w:hyperlink r:id="rId22" w:history="1">
        <w:r>
          <w:rPr>
            <w:rFonts w:ascii="arial" w:eastAsia="arial" w:hAnsi="arial" w:cs="arial"/>
            <w:b w:val="0"/>
            <w:i/>
            <w:strike w:val="0"/>
            <w:noProof w:val="0"/>
            <w:color w:val="0077CC"/>
            <w:position w:val="0"/>
            <w:sz w:val="20"/>
            <w:u w:val="single"/>
            <w:vertAlign w:val="baseline"/>
          </w:rPr>
          <w:t>Chudasama v. Mazda Motor Corp.</w:t>
        </w:r>
      </w:hyperlink>
      <w:hyperlink r:id="rId22" w:history="1">
        <w:r>
          <w:rPr>
            <w:rFonts w:ascii="arial" w:eastAsia="arial" w:hAnsi="arial" w:cs="arial"/>
            <w:b w:val="0"/>
            <w:i/>
            <w:strike w:val="0"/>
            <w:noProof w:val="0"/>
            <w:color w:val="0077CC"/>
            <w:position w:val="0"/>
            <w:sz w:val="20"/>
            <w:u w:val="single"/>
            <w:vertAlign w:val="baseline"/>
          </w:rPr>
          <w:t>, 123 F.3d 1353, 1368 n.37 (11th Cir. 1997)</w:t>
        </w:r>
      </w:hyperlink>
      <w:r>
        <w:rPr>
          <w:rFonts w:ascii="arial" w:eastAsia="arial" w:hAnsi="arial" w:cs="arial"/>
          <w:b w:val="0"/>
          <w:i w:val="0"/>
          <w:strike w:val="0"/>
          <w:noProof w:val="0"/>
          <w:color w:val="000000"/>
          <w:position w:val="0"/>
          <w:sz w:val="20"/>
          <w:u w:val="none"/>
          <w:vertAlign w:val="baseline"/>
        </w:rPr>
        <w:t xml:space="preserve"> ("The scope of allowable discovery is determined by the claims (and defenses) raised in the case.").</w:t>
      </w:r>
    </w:p>
    <w:p>
      <w:pPr>
        <w:keepNext w:val="0"/>
        <w:widowControl w:val="0"/>
        <w:spacing w:before="240" w:after="0" w:line="260" w:lineRule="atLeast"/>
        <w:ind w:left="0" w:right="0" w:firstLine="0"/>
        <w:jc w:val="both"/>
      </w:pPr>
      <w:bookmarkStart w:id="45" w:name="Bookmark_para_10"/>
      <w:bookmarkEnd w:id="45"/>
      <w:bookmarkStart w:id="46" w:name="Bookmark_I52BB73JBBF000YSM3X0000W"/>
      <w:bookmarkEnd w:id="46"/>
      <w:bookmarkStart w:id="47" w:name="Bookmark_I5R7FPBS2HM6M00050000400"/>
      <w:bookmarkEnd w:id="47"/>
      <w:r>
        <w:rPr>
          <w:rFonts w:ascii="arial" w:eastAsia="arial" w:hAnsi="arial" w:cs="arial"/>
          <w:b w:val="0"/>
          <w:i w:val="0"/>
          <w:strike w:val="0"/>
          <w:noProof w:val="0"/>
          <w:color w:val="000000"/>
          <w:position w:val="0"/>
          <w:sz w:val="20"/>
          <w:u w:val="none"/>
          <w:vertAlign w:val="baseline"/>
        </w:rPr>
        <w:t>Additionally, Defendant's counsel made clear at the hearing that his argument is hypothetical as he does not know whether there is a fee sharing agreement between Plaintiffs and Plaintiffs' counsel or what is included in any fee agreement between them. In other words, Defendant's argument is based on speculation. Although the scope of discovery is broad, "the discovery rules do not permit the [parties]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go on a fishing expedition." </w:t>
      </w:r>
      <w:bookmarkStart w:id="48" w:name="Bookmark_I5R7FPBS2HM6M00040000400"/>
      <w:bookmarkEnd w:id="48"/>
      <w:hyperlink r:id="rId23" w:history="1">
        <w:r>
          <w:rPr>
            <w:rFonts w:ascii="arial" w:eastAsia="arial" w:hAnsi="arial" w:cs="arial"/>
            <w:b w:val="0"/>
            <w:i/>
            <w:strike w:val="0"/>
            <w:noProof w:val="0"/>
            <w:color w:val="0077CC"/>
            <w:position w:val="0"/>
            <w:sz w:val="20"/>
            <w:u w:val="single"/>
            <w:vertAlign w:val="baseline"/>
          </w:rPr>
          <w:t>Porter v. Ray</w:t>
        </w:r>
      </w:hyperlink>
      <w:hyperlink r:id="rId23" w:history="1">
        <w:r>
          <w:rPr>
            <w:rFonts w:ascii="arial" w:eastAsia="arial" w:hAnsi="arial" w:cs="arial"/>
            <w:b w:val="0"/>
            <w:i/>
            <w:strike w:val="0"/>
            <w:noProof w:val="0"/>
            <w:color w:val="0077CC"/>
            <w:position w:val="0"/>
            <w:sz w:val="20"/>
            <w:u w:val="single"/>
            <w:vertAlign w:val="baseline"/>
          </w:rPr>
          <w:t>, 461 F.3d 1315, 1324 (11th Cir. 2006)</w:t>
        </w:r>
      </w:hyperlink>
      <w:r>
        <w:rPr>
          <w:rFonts w:ascii="arial" w:eastAsia="arial" w:hAnsi="arial" w:cs="arial"/>
          <w:b w:val="0"/>
          <w:i w:val="0"/>
          <w:strike w:val="0"/>
          <w:noProof w:val="0"/>
          <w:color w:val="000000"/>
          <w:position w:val="0"/>
          <w:sz w:val="20"/>
          <w:u w:val="none"/>
          <w:vertAlign w:val="baseline"/>
        </w:rPr>
        <w:t>. Defendant's request for discovery of fee sharing agreements here appears to be an impermissible fishing expedition.</w:t>
      </w:r>
    </w:p>
    <w:p>
      <w:pPr>
        <w:keepNext w:val="0"/>
        <w:widowControl w:val="0"/>
        <w:spacing w:before="200" w:after="0" w:line="260" w:lineRule="atLeast"/>
        <w:ind w:left="0" w:right="0" w:firstLine="0"/>
        <w:jc w:val="both"/>
      </w:pPr>
      <w:bookmarkStart w:id="49" w:name="Bookmark_para_11"/>
      <w:bookmarkEnd w:id="49"/>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Eclinical Works, LLC's Motion to Compel Discovery Responses (Dkt. 48)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12"/>
      <w:bookmarkEnd w:id="50"/>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in Tampa, Florida, on November 27, 2017.</w:t>
      </w:r>
    </w:p>
    <w:p>
      <w:pPr>
        <w:keepNext w:val="0"/>
        <w:widowControl w:val="0"/>
        <w:spacing w:before="200" w:after="0" w:line="260" w:lineRule="atLeast"/>
        <w:ind w:left="0" w:right="0" w:firstLine="0"/>
        <w:jc w:val="both"/>
      </w:pPr>
      <w:bookmarkStart w:id="51" w:name="Bookmark_para_13"/>
      <w:bookmarkEnd w:id="51"/>
      <w:r>
        <w:rPr>
          <w:rFonts w:ascii="arial" w:eastAsia="arial" w:hAnsi="arial" w:cs="arial"/>
          <w:b w:val="0"/>
          <w:i w:val="0"/>
          <w:strike w:val="0"/>
          <w:noProof w:val="0"/>
          <w:color w:val="000000"/>
          <w:position w:val="0"/>
          <w:sz w:val="20"/>
          <w:u w:val="none"/>
          <w:vertAlign w:val="baseline"/>
        </w:rPr>
        <w:t>/s/ Julie S. Sneed</w:t>
      </w:r>
    </w:p>
    <w:p>
      <w:pPr>
        <w:keepNext w:val="0"/>
        <w:widowControl w:val="0"/>
        <w:spacing w:before="200" w:after="0" w:line="260" w:lineRule="atLeast"/>
        <w:ind w:left="0" w:right="0" w:firstLine="0"/>
        <w:jc w:val="both"/>
      </w:pPr>
      <w:bookmarkStart w:id="52" w:name="Bookmark_para_14"/>
      <w:bookmarkEnd w:id="52"/>
      <w:r>
        <w:rPr>
          <w:rFonts w:ascii="arial" w:eastAsia="arial" w:hAnsi="arial" w:cs="arial"/>
          <w:b w:val="0"/>
          <w:i w:val="0"/>
          <w:strike w:val="0"/>
          <w:noProof w:val="0"/>
          <w:color w:val="000000"/>
          <w:position w:val="0"/>
          <w:sz w:val="20"/>
          <w:u w:val="none"/>
          <w:vertAlign w:val="baseline"/>
        </w:rPr>
        <w:t>JULIE S. SNEED</w:t>
      </w:r>
    </w:p>
    <w:p>
      <w:pPr>
        <w:keepNext w:val="0"/>
        <w:widowControl w:val="0"/>
        <w:spacing w:before="200" w:after="0" w:line="260" w:lineRule="atLeast"/>
        <w:ind w:left="0" w:right="0" w:firstLine="0"/>
        <w:jc w:val="both"/>
      </w:pPr>
      <w:bookmarkStart w:id="53" w:name="Bookmark_para_15"/>
      <w:bookmarkEnd w:id="5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Licari Family Chiropractic, Inc. v. Eclinical Works,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SHX-WXS1-F8D9-M360-00000-00&amp;context=" TargetMode="External" /><Relationship Id="rId11" Type="http://schemas.openxmlformats.org/officeDocument/2006/relationships/hyperlink" Target="https://advance.lexis.com/api/document?collection=statutes-legislation&amp;id=urn:contentItem:4YF7-GJ81-NRF4-43TT-00000-00&amp;context=" TargetMode="External" /><Relationship Id="rId12" Type="http://schemas.openxmlformats.org/officeDocument/2006/relationships/hyperlink" Target="https://advance.lexis.com/api/document?collection=cases&amp;id=urn:contentItem:3S4X-59S0-003B-54VT-00000-00&amp;context=" TargetMode="External" /><Relationship Id="rId13" Type="http://schemas.openxmlformats.org/officeDocument/2006/relationships/hyperlink" Target="https://advance.lexis.com/api/document?collection=cases&amp;id=urn:contentItem:83NN-8GP1-652R-B2N9-00000-00&amp;context=" TargetMode="External" /><Relationship Id="rId14" Type="http://schemas.openxmlformats.org/officeDocument/2006/relationships/hyperlink" Target="https://advance.lexis.com/api/document?collection=statutes-legislation&amp;id=urn:contentItem:8JDD-11V2-8T6X-7291-00000-00&amp;context=" TargetMode="External" /><Relationship Id="rId15" Type="http://schemas.openxmlformats.org/officeDocument/2006/relationships/hyperlink" Target="https://advance.lexis.com/api/document?collection=cases&amp;id=urn:contentItem:40B2-R410-0038-X561-00000-00&amp;context=" TargetMode="External" /><Relationship Id="rId16" Type="http://schemas.openxmlformats.org/officeDocument/2006/relationships/hyperlink" Target="https://advance.lexis.com/api/document?collection=cases&amp;id=urn:contentItem:3S4X-7C20-001B-K356-00000-00&amp;context=" TargetMode="External" /><Relationship Id="rId17" Type="http://schemas.openxmlformats.org/officeDocument/2006/relationships/hyperlink" Target="https://advance.lexis.com/api/document?collection=cases&amp;id=urn:contentItem:3S4X-HY90-0039-P2NB-00000-00&amp;context=" TargetMode="External" /><Relationship Id="rId18" Type="http://schemas.openxmlformats.org/officeDocument/2006/relationships/hyperlink" Target="https://advance.lexis.com/api/document?collection=cases&amp;id=urn:contentItem:5MY1-H3J1-F04D-13GP-00000-00&amp;context=" TargetMode="External" /><Relationship Id="rId19" Type="http://schemas.openxmlformats.org/officeDocument/2006/relationships/hyperlink" Target="https://advance.lexis.com/api/document?collection=cases&amp;id=urn:contentItem:5MWR-P0C1-F04D-122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3TR0-008H-V1NV-00000-00&amp;context=" TargetMode="External" /><Relationship Id="rId21" Type="http://schemas.openxmlformats.org/officeDocument/2006/relationships/hyperlink" Target="https://advance.lexis.com/api/document?collection=cases&amp;id=urn:contentItem:3S4W-YBP0-006F-M1CW-00000-00&amp;context=" TargetMode="External" /><Relationship Id="rId22" Type="http://schemas.openxmlformats.org/officeDocument/2006/relationships/hyperlink" Target="https://advance.lexis.com/api/document?collection=cases&amp;id=urn:contentItem:3RHM-PNS0-0038-X3M2-00000-00&amp;context=" TargetMode="External" /><Relationship Id="rId23" Type="http://schemas.openxmlformats.org/officeDocument/2006/relationships/hyperlink" Target="https://advance.lexis.com/api/document?collection=cases&amp;id=urn:contentItem:4K7W-24V0-0038-X483-00000-00&amp;context=" TargetMode="Externa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XH-2191-DXC8-73FG-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27-67R1-F04D-107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