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Neutral</w:t>
        <w:cr/>
        <w:t>As of: August 13, 2018 2:52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Prometheus Radio Project v. FCC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Third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7, 2018,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Nos. 17-1107 &amp; 18-1092, No. 18-1167</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App. LEXIS 5512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Prometheus Radio Project et al. v. Federal Communications Commission;In re: Prometheus Radio Project and Media Mobilizing Project, Petitioners</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(Related to Agency Nos. FCC 16-107 and 17-156).</w:t>
      </w:r>
    </w:p>
    <w:p>
      <w:pPr>
        <w:keepNext w:val="0"/>
        <w:widowControl w:val="0"/>
        <w:spacing w:before="240" w:after="0" w:line="260" w:lineRule="atLeast"/>
        <w:ind w:left="0" w:right="0" w:firstLine="0"/>
        <w:jc w:val="left"/>
      </w:pPr>
      <w:r>
        <w:br/>
      </w:r>
      <w:hyperlink r:id="rId10" w:history="1">
        <w:r>
          <w:rPr>
            <w:rFonts w:ascii="arial" w:eastAsia="arial" w:hAnsi="arial" w:cs="arial"/>
            <w:b w:val="0"/>
            <w:i/>
            <w:strike w:val="0"/>
            <w:color w:val="0077CC"/>
            <w:sz w:val="20"/>
            <w:u w:val="single"/>
            <w:vertAlign w:val="baseline"/>
          </w:rPr>
          <w:t xml:space="preserve">In re 2014 Quadrennial </w:t>
        </w:r>
      </w:hyperlink>
      <w:hyperlink r:id="rId10" w:history="1">
        <w:r>
          <w:rPr>
            <w:rFonts w:ascii="arial" w:eastAsia="arial" w:hAnsi="arial" w:cs="arial"/>
            <w:b/>
            <w:i/>
            <w:strike w:val="0"/>
            <w:color w:val="0077CC"/>
            <w:sz w:val="20"/>
            <w:u w:val="single"/>
            <w:vertAlign w:val="baseline"/>
          </w:rPr>
          <w:t>Regulatory</w:t>
        </w:r>
      </w:hyperlink>
      <w:hyperlink r:id="rId10" w:history="1">
        <w:r>
          <w:rPr>
            <w:rFonts w:ascii="arial" w:eastAsia="arial" w:hAnsi="arial" w:cs="arial"/>
            <w:b w:val="0"/>
            <w:i/>
            <w:strike w:val="0"/>
            <w:color w:val="0077CC"/>
            <w:sz w:val="20"/>
            <w:u w:val="single"/>
            <w:vertAlign w:val="baseline"/>
          </w:rPr>
          <w:t xml:space="preserve"> Review, 31 F.C.C.R. 9864, 2016 FCC LEXIS 2887 (F.C.C., Aug. 25, 2016)</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incubator, mandamus, exact</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Prometheus Radio Project, Media Mobilizing Project, Petitioners (17-1107): Angela J. Campbell, Esq., Institute for Public Representation, Washington, DC; Andrew J. Schwartzman, Esq., Georgetown University Law Center,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Communications Commission, Respondent (17-1107): James M. Carr, Esq., Matthew J. Dunne, Esq., David M. Gossett, Esq., Jacob M. Lewis, Esq., William Scher, Esq., Howard J. Symons, Esq., Richard K. Welch, Esq., Federal Communications Commission, Washington, DC; Loretta Lynch, Esq., United States Department of Justice,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United States of America, Respondent (17-1107): Nickolai Gilford Levin, Attorney, United States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Washington, DC; Loretta Lynch, Esq., United States Department of Justice, Office of Immigration Litigation,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Benton Foundation, Common Cause, Media Council Hawaii, National Association of Broadcast Employees And Technicians Communications Workers of America, National Organization For Women Foundation, Office of Communication of The United Church of Christ Inc, Intervenor Respondents (17-1107): Angela J. Campbell,</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Esq., Institute for Public Representation, Georgetown Law,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National Association of Broadcasters, Intervenor petitioner (17-1107): Helgi C. Walker, Esq., Gibson Dunn &amp; Crutcher,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Cox Media Group Llc, Intervenor petitioner (17-1107): David E. Mills, Esq., Cooley, Washington, DC; Angela J. Campbell, Esq., Institute for Public Representation, Georgetown Law,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Multicultural Media Telecom And Internet Council, National Association of Black Owned Broadcasters, Intervenors - Intervenor petitioners (18-1092): David D'Alessandro, Esq., Dennis Lane, Esq., Stinson Leonard Street,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Prometheus Radio Project, Media Mobilizing Project, In re: PROMETHEUS RADIO PROJECT (18-1092, 18-1167), Petitioners: Angela J. Campbell, Esq., James T. Graves, Institute for Public Representation, Washington, DC; Chris M. Laughlin, Esq., Andrew J. Schwartzman, Esq., Georgetown University Law Center, Washington, DC; Cheryl A. Leanza, Best Best &amp; Krieger,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Communications Commission (18-1092, 18-1167), Respondent (18-1092): Matthew J. Dunne, Esq., David M. Gossett, Esq., Thomas M. Johnson Jr., Esq., Jacob M. Lewis, Esq., William</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Scher, Esq., Richard K. Welch, Esq., Federal Communications Commission, Washington, DC; Jeff Sessions, Esq., United States Department of Justice, Office of Immigration Litigation,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States of America, Respondent (18-1092): Thomas M. Johnson Jr., Esq., Federal Communications Commission, Washington, DC; Nickolai Gilford Levin, Attorney, United States Department of Justice, Washington, DC; Jeff Sessions, Esq., United States Department of Justice, Office of Immigration Litigation,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Bonneville International Corp, Intervenor - Intervenor Respondent (18-1092): Craig E. Gilmore, Esq., Kenneth E. Satten, Esq., Wilkinson Barker Knauer,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Connoisseur Media Llc, Intervenor - Intervenor Respondent (18-1092): David H. Solomon, Esq., Wilkinson Barker Knauer,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National Association of Broadcasters (18-1092, 18-1167), Intervenor - Intervenor Respondent (18-1092): Andrew G.I. Kilberg, Esq., Helgi C. Walker, Esq., Gibson Dunn &amp; Crutcher,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News Corp, Intervenor - Intervenor Respondent (18-1092): Sally A. Buckman, Esq., Paul A. Cicelski, Esq., S. Jenell Trigg, Esq., Lerman Senter,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News Media</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Alliance, Intervenor - Intervenor Respondent (18-1092): Kevin F. King, Esq., Robert A. Long Jr., Esq., Covington &amp; Burling,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Nexstar Broadcasting Inc, Intervenor - Intervenor Respondent (18-1092): Eve Reed, Esq., Wiley Rein,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Sinclair Broadcast Group Inc, Intervenor - Intervenor Respondent (18-1092): Jeetander T. Dulani, Esq., Pillsbury Winthrop Shaw Pittman,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Twenty First Century Fox Inc, Intervenor - Intervenor Respondent (18-1092): Rafael Reyneri, Esq., Mace J. Rosenstein, Esq., Andrew Soukup, Esq., Covington &amp; Burling,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News Media Alliance, Not Party - Proposed Intervenor Respondent (18-1167): Kevin F. King, Esq., Robert A. Long Jr., Esq., Covington &amp; Burling,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Sinclair Broadcast Group Inc, Not Party - Proposed Intervenor Respondent (18-1167): Jeetander T. Dulani, Esq., Pillsbury Winthrop Shaw Pittman,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Twenty First Century Fox Inc, Not Party - Proposed Intervenor Respondent (18-1167): Rafael Reyneri, Esq., Mace J. Rosenstein, Esq., Andrew Soukup, Esq., Covington &amp; Burling,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Bonneville International Corp, Not Party - Proposed Intervenor Respondent (18-1167):</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Craig E. Gilmore, Esq., Kenneth E. Satten, Esq., Wilkinson Barker Knauer,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Nexstar Broadcasting Inc, Not Party - Proposed Intervenor Respondent (18-1167): Eve Reed, Esq., Wiley Rein,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Connoisseur Media Llc, Not Party - Proposed Intervenor Respondent (18-1167): David H. Solomon, Esq., Wilkinson Barker Knauer,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News Corp, Not Party - Proposed Intervenor Respondent (18-1167): Sally A. Buckman, Esq., Paul A. Cicelski, Esq., S. Jenell Trigg, Esq., Lerman Senter, Washington, DC.</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Present: AMBRO, SCIRICA and FUENTES, Circuit Judges.</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Thomas L. Ambro</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40" w:after="0" w:line="260" w:lineRule="atLeast"/>
        <w:ind w:left="0" w:right="0" w:firstLine="0"/>
        <w:jc w:val="both"/>
      </w:pPr>
      <w:bookmarkStart w:id="9" w:name="Bookmark_para_2"/>
      <w:bookmarkEnd w:id="9"/>
      <w:bookmarkStart w:id="10" w:name="Bookmark_I305TRBNPDD000RFNH800001"/>
      <w:bookmarkEnd w:id="10"/>
      <w:bookmarkStart w:id="11" w:name="Bookmark_I5S0BNFG2D6MTT0020000400"/>
      <w:bookmarkEnd w:id="11"/>
      <w:r>
        <w:rPr>
          <w:rFonts w:ascii="arial" w:eastAsia="arial" w:hAnsi="arial" w:cs="arial"/>
          <w:b w:val="0"/>
          <w:i w:val="0"/>
          <w:strike w:val="0"/>
          <w:noProof w:val="0"/>
          <w:color w:val="000000"/>
          <w:position w:val="0"/>
          <w:sz w:val="20"/>
          <w:u w:val="none"/>
          <w:vertAlign w:val="baseline"/>
        </w:rPr>
        <w:t xml:space="preserve">The emergency petition for writ of mandamus is denied as Petitioners have not satisfied the exacting standard for obtaining such relief. </w:t>
      </w:r>
      <w:r>
        <w:rPr>
          <w:rFonts w:ascii="arial" w:eastAsia="arial" w:hAnsi="arial" w:cs="arial"/>
          <w:b w:val="0"/>
          <w:i/>
          <w:strike w:val="0"/>
          <w:noProof w:val="0"/>
          <w:color w:val="000000"/>
          <w:position w:val="0"/>
          <w:sz w:val="20"/>
          <w:u w:val="none"/>
          <w:vertAlign w:val="baseline"/>
        </w:rPr>
        <w:t xml:space="preserve">See </w:t>
      </w:r>
      <w:bookmarkStart w:id="12" w:name="Bookmark_I5S0BNFG2D6MTT0010000400"/>
      <w:bookmarkEnd w:id="12"/>
      <w:hyperlink r:id="rId11" w:history="1">
        <w:r>
          <w:rPr>
            <w:rFonts w:ascii="arial" w:eastAsia="arial" w:hAnsi="arial" w:cs="arial"/>
            <w:b w:val="0"/>
            <w:i/>
            <w:strike w:val="0"/>
            <w:noProof w:val="0"/>
            <w:color w:val="0077CC"/>
            <w:position w:val="0"/>
            <w:sz w:val="20"/>
            <w:u w:val="single"/>
            <w:vertAlign w:val="baseline"/>
          </w:rPr>
          <w:t>In re: Howmedica Osteonics Corp</w:t>
        </w:r>
      </w:hyperlink>
      <w:hyperlink r:id="rId11" w:history="1">
        <w:r>
          <w:rPr>
            <w:rFonts w:ascii="arial" w:eastAsia="arial" w:hAnsi="arial" w:cs="arial"/>
            <w:b w:val="0"/>
            <w:i/>
            <w:strike w:val="0"/>
            <w:noProof w:val="0"/>
            <w:color w:val="0077CC"/>
            <w:position w:val="0"/>
            <w:sz w:val="20"/>
            <w:u w:val="single"/>
            <w:vertAlign w:val="baseline"/>
          </w:rPr>
          <w:t>., 867 F.3d 390, 401 (3d Cir. 2017)</w:t>
        </w:r>
      </w:hyperlink>
      <w:r>
        <w:rPr>
          <w:rFonts w:ascii="arial" w:eastAsia="arial" w:hAnsi="arial" w:cs="arial"/>
          <w:b w:val="0"/>
          <w:i w:val="0"/>
          <w:strike w:val="0"/>
          <w:noProof w:val="0"/>
          <w:color w:val="000000"/>
          <w:position w:val="0"/>
          <w:sz w:val="20"/>
          <w:u w:val="none"/>
          <w:vertAlign w:val="baseline"/>
        </w:rPr>
        <w:t xml:space="preserve"> (observing that a writ of mandamus "may issue only if the petitioner shows (1) a clear and indisputable abuse of discretion or [] error of law, (2) a lack of an alternate avenue for adequate relief, and (3) a likelihood of irreparable injury.") (citation and internal quotation marks omitted).</w:t>
      </w:r>
    </w:p>
    <w:p>
      <w:pPr>
        <w:keepNext w:val="0"/>
        <w:widowControl w:val="0"/>
        <w:spacing w:before="200" w:after="0" w:line="260" w:lineRule="atLeast"/>
        <w:ind w:left="0" w:right="0" w:firstLine="0"/>
        <w:jc w:val="both"/>
      </w:pPr>
      <w:bookmarkStart w:id="13" w:name="Bookmark_para_3"/>
      <w:bookmarkEnd w:id="13"/>
      <w:r>
        <w:rPr>
          <w:rFonts w:ascii="arial" w:eastAsia="arial" w:hAnsi="arial" w:cs="arial"/>
          <w:b w:val="0"/>
          <w:i w:val="0"/>
          <w:strike w:val="0"/>
          <w:noProof w:val="0"/>
          <w:color w:val="000000"/>
          <w:position w:val="0"/>
          <w:sz w:val="20"/>
          <w:u w:val="none"/>
          <w:vertAlign w:val="baseline"/>
        </w:rPr>
        <w:t>The Court notes that the exact design of the FCC's new incubator program is subject to public comment through April 9, 2018. As such, the petitions for review pending</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at Nos. 17-1107 and 18-1092 shall be stayed for a period of 6 months from the date of this Order. The FCC is hereby directed to file a report on or before August 6, 2018 regarding the status of the incubator program.</w:t>
      </w:r>
    </w:p>
    <w:p>
      <w:pPr>
        <w:keepNext w:val="0"/>
        <w:widowControl w:val="0"/>
        <w:spacing w:before="200" w:after="0" w:line="260" w:lineRule="atLeast"/>
        <w:ind w:left="0" w:right="0" w:firstLine="0"/>
        <w:jc w:val="both"/>
      </w:pPr>
      <w:bookmarkStart w:id="14" w:name="Bookmark_para_4"/>
      <w:bookmarkEnd w:id="14"/>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15" w:name="Bookmark_para_5"/>
      <w:bookmarkEnd w:id="15"/>
      <w:r>
        <w:rPr>
          <w:rFonts w:ascii="arial" w:eastAsia="arial" w:hAnsi="arial" w:cs="arial"/>
          <w:b w:val="0"/>
          <w:i w:val="0"/>
          <w:strike w:val="0"/>
          <w:noProof w:val="0"/>
          <w:color w:val="000000"/>
          <w:position w:val="0"/>
          <w:sz w:val="20"/>
          <w:u w:val="none"/>
          <w:vertAlign w:val="baseline"/>
        </w:rPr>
        <w:t>/s/ Thomas L. Ambro</w:t>
      </w:r>
    </w:p>
    <w:p>
      <w:pPr>
        <w:keepNext w:val="0"/>
        <w:widowControl w:val="0"/>
        <w:spacing w:before="200" w:after="0" w:line="260" w:lineRule="atLeast"/>
        <w:ind w:left="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Circuit Judge</w:t>
      </w:r>
    </w:p>
    <w:p>
      <w:pPr>
        <w:keepNext w:val="0"/>
        <w:widowControl w:val="0"/>
        <w:spacing w:before="200" w:after="0" w:line="260" w:lineRule="atLeast"/>
        <w:ind w:left="0" w:right="0" w:firstLine="0"/>
        <w:jc w:val="both"/>
      </w:pPr>
      <w:bookmarkStart w:id="17" w:name="Bookmark_para_7"/>
      <w:bookmarkEnd w:id="17"/>
      <w:r>
        <w:rPr>
          <w:rFonts w:ascii="arial" w:eastAsia="arial" w:hAnsi="arial" w:cs="arial"/>
          <w:b w:val="0"/>
          <w:i w:val="0"/>
          <w:strike w:val="0"/>
          <w:noProof w:val="0"/>
          <w:color w:val="000000"/>
          <w:position w:val="0"/>
          <w:sz w:val="20"/>
          <w:u w:val="none"/>
          <w:vertAlign w:val="baseline"/>
        </w:rPr>
        <w:t>Dated: February 7, 2018</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Prometheus Radio Project v. FCC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materials&amp;id=urn:contentItem:5KS2-8490-01KR-93RK-00000-00&amp;context=" TargetMode="External" /><Relationship Id="rId11" Type="http://schemas.openxmlformats.org/officeDocument/2006/relationships/hyperlink" Target="https://advance.lexis.com/api/document?collection=cases&amp;id=urn:contentItem:5P81-4W81-F04K-K030-00000-00&amp;context=" TargetMode="Externa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shepards?id=urn:contentItem:5RSB-YR91-J9X6-H3P9-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RT2-FTF1-JJ1H-X4K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Tundo v. Passaic Cty.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71541792</vt:lpwstr>
  </property>
  <property fmtid="{D5CDD505-2E9C-101B-9397-08002B2CF9AE}" pid="3" name="LADocCount">
    <vt:lpwstr>1</vt:lpwstr>
  </property>
  <property fmtid="{D5CDD505-2E9C-101B-9397-08002B2CF9AE}" pid="4" name="UserPermID">
    <vt:lpwstr>urn:user:PA185916758</vt:lpwstr>
  </property>
</Properties>
</file>