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2:57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Rowland Global LLC v. Good Clean Love,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2017, Decided; December 12,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15-5738 (MCA) (MAH)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221451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ROWLAND GLOBAL LLC, Plaintiff, v. GOOD CLEAN LOVE, INC., Defendant.</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appearing, services, damages, motion to dismiss, unjust enrichment, negligently, negligent misrepresentation, incorrect statement, promissory estoppel, definite promise, justifiably rely, cause of action, economic loss, quotations, detriment, promise, relies, unjust</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ROWLAND GLOBAL LLC, Plaintiff, Counter Defendant: STEVEN ROBERT ROWLAND, LEAD ATTORNEY, Brown Moskowitz &amp; Kallen, P.C., Summit,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GOOD CLEAN LOVE, INC., Defendant, Counter Claimant: ADLAI J.J. SMALL, JASON CHARLES SPIRO, LEAD ATTORNEYS, Spiro LLC, Short Hills, NJ.</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Madeline Cox Arleo,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Madeline Cox Arleo</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having come before the Court on Defendant Good Clean Love, Inc.'s ("Defendant") renewed Motion to Dismiss the Plaintiff Rowland Global LLC's ("Plaintiff") Amended Complaint, ECF No. 113;</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and it appearing that this matter arises from Defendant's engagement of Plaintiff's services to market and distribute Defendant's products from October 2014 through May 2015, and the subsequent dispute over the payment of those services, Am. Compl. ¶¶ 13-40, ECF No. 91;</w:t>
      </w:r>
    </w:p>
    <w:p>
      <w:pPr>
        <w:keepNext w:val="0"/>
        <w:widowControl w:val="0"/>
        <w:spacing w:before="24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and it appearing that Defendant seeks dismissal on the grounds that Plaintiff has failed to state a claim upon which relief can be granted pursuant to </w:t>
      </w:r>
      <w:hyperlink r:id="rId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8" w:name="Bookmark_para_4"/>
      <w:bookmarkEnd w:id="18"/>
      <w:r>
        <w:rPr>
          <w:rFonts w:ascii="arial" w:eastAsia="arial" w:hAnsi="arial" w:cs="arial"/>
          <w:b w:val="0"/>
          <w:i w:val="0"/>
          <w:strike w:val="0"/>
          <w:noProof w:val="0"/>
          <w:color w:val="000000"/>
          <w:position w:val="0"/>
          <w:sz w:val="20"/>
          <w:u w:val="none"/>
          <w:vertAlign w:val="baseline"/>
        </w:rPr>
        <w:t>and it appearing that Plaintiff has alleged a Contract claim (Count One);</w:t>
      </w:r>
    </w:p>
    <w:p>
      <w:pPr>
        <w:keepNext w:val="0"/>
        <w:widowControl w:val="0"/>
        <w:spacing w:before="200" w:after="0" w:line="260" w:lineRule="atLeast"/>
        <w:ind w:left="0" w:right="0" w:firstLine="0"/>
        <w:jc w:val="both"/>
      </w:pPr>
      <w:bookmarkStart w:id="19" w:name="Bookmark_para_5"/>
      <w:bookmarkEnd w:id="19"/>
      <w:bookmarkStart w:id="20" w:name="Bookmark_I5T1BPPD2SF82X0030000400"/>
      <w:bookmarkEnd w:id="20"/>
      <w:r>
        <w:rPr>
          <w:rFonts w:ascii="arial" w:eastAsia="arial" w:hAnsi="arial" w:cs="arial"/>
          <w:b w:val="0"/>
          <w:i w:val="0"/>
          <w:strike w:val="0"/>
          <w:noProof w:val="0"/>
          <w:color w:val="000000"/>
          <w:position w:val="0"/>
          <w:sz w:val="20"/>
          <w:u w:val="none"/>
          <w:vertAlign w:val="baseline"/>
        </w:rPr>
        <w:t>and it appearing that Plaintiff has adequately alleged a contract for marketing services and a contract for a finder's fee, breach of each contract and damages,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[*2] </w:t>
      </w:r>
      <w:r>
        <w:rPr>
          <w:rFonts w:ascii="arial" w:eastAsia="arial" w:hAnsi="arial" w:cs="arial"/>
          <w:b w:val="0"/>
          <w:i w:val="0"/>
          <w:strike w:val="0"/>
          <w:noProof w:val="0"/>
          <w:color w:val="000000"/>
          <w:position w:val="0"/>
          <w:sz w:val="20"/>
          <w:u w:val="none"/>
          <w:vertAlign w:val="baseline"/>
        </w:rPr>
        <w:t xml:space="preserve"> Am. Compl. ¶¶ 41-64;</w:t>
      </w:r>
    </w:p>
    <w:p>
      <w:pPr>
        <w:keepNext w:val="0"/>
        <w:widowControl w:val="0"/>
        <w:spacing w:before="200" w:after="0" w:line="260" w:lineRule="atLeast"/>
        <w:ind w:left="0" w:right="0" w:firstLine="0"/>
        <w:jc w:val="both"/>
      </w:pPr>
      <w:bookmarkStart w:id="24" w:name="Bookmark_para_6"/>
      <w:bookmarkEnd w:id="24"/>
      <w:bookmarkStart w:id="25" w:name="Bookmark_I5T1BPPD2HM62V0020000400"/>
      <w:bookmarkEnd w:id="25"/>
      <w:r>
        <w:rPr>
          <w:rFonts w:ascii="arial" w:eastAsia="arial" w:hAnsi="arial" w:cs="arial"/>
          <w:b w:val="0"/>
          <w:i w:val="0"/>
          <w:strike w:val="0"/>
          <w:noProof w:val="0"/>
          <w:color w:val="000000"/>
          <w:position w:val="0"/>
          <w:sz w:val="20"/>
          <w:u w:val="none"/>
          <w:vertAlign w:val="baseline"/>
        </w:rPr>
        <w:t>and it appearing that Plaintiff has alleged Unjust Enrichment (Count Two);</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29" w:name="Bookmark_para_7"/>
      <w:bookmarkEnd w:id="29"/>
      <w:bookmarkStart w:id="30" w:name="Bookmark_I5T1BPPF28T5220010000400"/>
      <w:bookmarkEnd w:id="30"/>
      <w:r>
        <w:rPr>
          <w:rFonts w:ascii="arial" w:eastAsia="arial" w:hAnsi="arial" w:cs="arial"/>
          <w:b w:val="0"/>
          <w:i w:val="0"/>
          <w:strike w:val="0"/>
          <w:noProof w:val="0"/>
          <w:color w:val="000000"/>
          <w:position w:val="0"/>
          <w:sz w:val="20"/>
          <w:u w:val="none"/>
          <w:vertAlign w:val="baseline"/>
        </w:rPr>
        <w:t>and it appearing that Plaintiff has adequately alleged that it conferred benefits on Defendant through consulting services provided and that retention of that benefit without payment would be unjust,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65-76;</w:t>
      </w:r>
    </w:p>
    <w:p>
      <w:pPr>
        <w:keepNext w:val="0"/>
        <w:widowControl w:val="0"/>
        <w:spacing w:before="200" w:after="0" w:line="260" w:lineRule="atLeast"/>
        <w:ind w:left="0" w:right="0" w:firstLine="0"/>
        <w:jc w:val="both"/>
      </w:pPr>
      <w:bookmarkStart w:id="34" w:name="Bookmark_para_8"/>
      <w:bookmarkEnd w:id="34"/>
      <w:r>
        <w:rPr>
          <w:rFonts w:ascii="arial" w:eastAsia="arial" w:hAnsi="arial" w:cs="arial"/>
          <w:b w:val="0"/>
          <w:i w:val="0"/>
          <w:strike w:val="0"/>
          <w:noProof w:val="0"/>
          <w:color w:val="000000"/>
          <w:position w:val="0"/>
          <w:sz w:val="20"/>
          <w:u w:val="none"/>
          <w:vertAlign w:val="baseline"/>
        </w:rPr>
        <w:t>and it appearing that Plaintiff has alleged Promissory Estoppel (Count Three);</w:t>
      </w:r>
    </w:p>
    <w:p>
      <w:pPr>
        <w:keepNext w:val="0"/>
        <w:widowControl w:val="0"/>
        <w:spacing w:before="200" w:after="0" w:line="260" w:lineRule="atLeast"/>
        <w:ind w:left="0" w:right="0" w:firstLine="0"/>
        <w:jc w:val="both"/>
      </w:pPr>
      <w:bookmarkStart w:id="35" w:name="Bookmark_para_9"/>
      <w:bookmarkEnd w:id="35"/>
      <w:bookmarkStart w:id="36" w:name="Bookmark_I5T1BPPF28T5220050000400"/>
      <w:bookmarkEnd w:id="36"/>
      <w:r>
        <w:rPr>
          <w:rFonts w:ascii="arial" w:eastAsia="arial" w:hAnsi="arial" w:cs="arial"/>
          <w:b w:val="0"/>
          <w:i w:val="0"/>
          <w:strike w:val="0"/>
          <w:noProof w:val="0"/>
          <w:color w:val="000000"/>
          <w:position w:val="0"/>
          <w:sz w:val="20"/>
          <w:u w:val="none"/>
          <w:vertAlign w:val="baseline"/>
        </w:rPr>
        <w:t>and it appearing that Plaintiff has adequately alleged a clear and definite promise to pay for services and that plaintiff relied on such promises to its detriment,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77-80;</w:t>
      </w:r>
    </w:p>
    <w:p>
      <w:pPr>
        <w:keepNext w:val="0"/>
        <w:widowControl w:val="0"/>
        <w:spacing w:before="200" w:after="0" w:line="260" w:lineRule="atLeast"/>
        <w:ind w:left="0" w:right="0" w:firstLine="0"/>
        <w:jc w:val="both"/>
      </w:pPr>
      <w:bookmarkStart w:id="39" w:name="Bookmark_para_10"/>
      <w:bookmarkEnd w:id="39"/>
      <w:r>
        <w:rPr>
          <w:rFonts w:ascii="arial" w:eastAsia="arial" w:hAnsi="arial" w:cs="arial"/>
          <w:b w:val="0"/>
          <w:i w:val="0"/>
          <w:strike w:val="0"/>
          <w:noProof w:val="0"/>
          <w:color w:val="000000"/>
          <w:position w:val="0"/>
          <w:sz w:val="20"/>
          <w:u w:val="none"/>
          <w:vertAlign w:val="baseline"/>
        </w:rPr>
        <w:t>and it appearing that Plaintiff has alleged Negligent Misrepresentation (Count Four);</w:t>
      </w:r>
    </w:p>
    <w:p>
      <w:pPr>
        <w:keepNext w:val="0"/>
        <w:widowControl w:val="0"/>
        <w:spacing w:before="200" w:after="0" w:line="260" w:lineRule="atLeast"/>
        <w:ind w:left="0" w:right="0" w:firstLine="0"/>
        <w:jc w:val="both"/>
      </w:pPr>
      <w:bookmarkStart w:id="40" w:name="Bookmark_para_11"/>
      <w:bookmarkEnd w:id="40"/>
      <w:bookmarkStart w:id="41" w:name="Bookmark_I5T1BPPF2N1R410020000400"/>
      <w:bookmarkEnd w:id="41"/>
      <w:r>
        <w:rPr>
          <w:rFonts w:ascii="arial" w:eastAsia="arial" w:hAnsi="arial" w:cs="arial"/>
          <w:b w:val="0"/>
          <w:i w:val="0"/>
          <w:strike w:val="0"/>
          <w:noProof w:val="0"/>
          <w:color w:val="000000"/>
          <w:position w:val="0"/>
          <w:sz w:val="20"/>
          <w:u w:val="none"/>
          <w:vertAlign w:val="baseline"/>
        </w:rPr>
        <w:t xml:space="preserve">and it appearing that Plaintiff has adequately alleged that defendant negligently misstated that it was compliant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Plaintiff relied on those statements by continuing to perform work; and that plaintiff was damaged as a result,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Am. Compl. ¶¶ 81-85;</w:t>
      </w:r>
    </w:p>
    <w:p>
      <w:pPr>
        <w:keepNext w:val="0"/>
        <w:widowControl w:val="0"/>
        <w:spacing w:before="200" w:after="0" w:line="260" w:lineRule="atLeast"/>
        <w:ind w:left="0" w:right="0" w:firstLine="0"/>
        <w:jc w:val="both"/>
      </w:pPr>
      <w:bookmarkStart w:id="45" w:name="Bookmark_para_12"/>
      <w:bookmarkEnd w:id="45"/>
      <w:r>
        <w:rPr>
          <w:rFonts w:ascii="arial" w:eastAsia="arial" w:hAnsi="arial" w:cs="arial"/>
          <w:b w:val="0"/>
          <w:i w:val="0"/>
          <w:strike w:val="0"/>
          <w:noProof w:val="0"/>
          <w:color w:val="000000"/>
          <w:position w:val="0"/>
          <w:sz w:val="20"/>
          <w:u w:val="none"/>
          <w:vertAlign w:val="baseline"/>
        </w:rPr>
        <w:t>and it appearing that in moving to dismiss, defendant relies on select portions of the pleadings and ignores other and relies on cases granting summary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judgment on a complete record;</w:t>
      </w:r>
    </w:p>
    <w:p>
      <w:pPr>
        <w:keepNext w:val="0"/>
        <w:widowControl w:val="0"/>
        <w:spacing w:before="200" w:after="0" w:line="260" w:lineRule="atLeast"/>
        <w:ind w:left="0" w:right="0" w:firstLine="0"/>
        <w:jc w:val="both"/>
      </w:pPr>
      <w:bookmarkStart w:id="46" w:name="Bookmark_para_13"/>
      <w:bookmarkEnd w:id="46"/>
      <w:r>
        <w:rPr>
          <w:rFonts w:ascii="arial" w:eastAsia="arial" w:hAnsi="arial" w:cs="arial"/>
          <w:b w:val="0"/>
          <w:i w:val="0"/>
          <w:strike w:val="0"/>
          <w:noProof w:val="0"/>
          <w:color w:val="000000"/>
          <w:position w:val="0"/>
          <w:sz w:val="20"/>
          <w:u w:val="none"/>
          <w:vertAlign w:val="baseline"/>
        </w:rPr>
        <w:t>and it appearing that defendant's argument would be more appropriately raised in a summary judgment motion at the close of discovery;</w:t>
      </w:r>
    </w:p>
    <w:p>
      <w:pPr>
        <w:keepNext w:val="0"/>
        <w:widowControl w:val="0"/>
        <w:spacing w:before="200" w:after="0" w:line="260" w:lineRule="atLeast"/>
        <w:ind w:left="0" w:right="0" w:firstLine="0"/>
        <w:jc w:val="both"/>
      </w:pPr>
      <w:bookmarkStart w:id="47" w:name="Bookmark_para_14"/>
      <w:bookmarkEnd w:id="47"/>
      <w:r>
        <w:rPr>
          <w:rFonts w:ascii="arial" w:eastAsia="arial" w:hAnsi="arial" w:cs="arial"/>
          <w:b/>
          <w:i w:val="0"/>
          <w:strike w:val="0"/>
          <w:noProof w:val="0"/>
          <w:color w:val="000000"/>
          <w:position w:val="0"/>
          <w:sz w:val="20"/>
          <w:u w:val="none"/>
          <w:vertAlign w:val="baseline"/>
        </w:rPr>
        <w:t>IT IS ON THIS 12th day of December,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15"/>
      <w:bookmarkEnd w:id="48"/>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 Good Clean Love, LLC's Motion to Dismiss, ECF No. 113,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16"/>
      <w:bookmarkEnd w:id="49"/>
      <w:r>
        <w:rPr>
          <w:rFonts w:ascii="arial" w:eastAsia="arial" w:hAnsi="arial" w:cs="arial"/>
          <w:b/>
          <w:i/>
          <w:strike w:val="0"/>
          <w:noProof w:val="0"/>
          <w:color w:val="000000"/>
          <w:position w:val="0"/>
          <w:sz w:val="20"/>
          <w:u w:val="none"/>
          <w:vertAlign w:val="baseline"/>
        </w:rPr>
        <w:t>s/Madeline Cox Arleo</w:t>
      </w:r>
    </w:p>
    <w:p>
      <w:pPr>
        <w:keepNext w:val="0"/>
        <w:widowControl w:val="0"/>
        <w:spacing w:before="200" w:after="0" w:line="260" w:lineRule="atLeast"/>
        <w:ind w:left="0" w:right="0" w:firstLine="0"/>
        <w:jc w:val="both"/>
      </w:pPr>
      <w:bookmarkStart w:id="50" w:name="Bookmark_para_17"/>
      <w:bookmarkEnd w:id="5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bookmarkStart w:id="11" w:name="Bookmark_I5T1BPPD2N1R400020000400"/>
      <w:bookmarkEnd w:id="11"/>
      <w:bookmarkStart w:id="12" w:name="Bookmark_I5T1BPPD2N1R400040000400"/>
      <w:bookmarkEnd w:id="12"/>
      <w:r>
        <w:rPr>
          <w:rFonts w:ascii="arial" w:eastAsia="arial" w:hAnsi="arial" w:cs="arial"/>
          <w:b w:val="0"/>
          <w:i w:val="0"/>
          <w:strike w:val="0"/>
          <w:noProof w:val="0"/>
          <w:color w:val="000000"/>
          <w:position w:val="0"/>
          <w:sz w:val="18"/>
          <w:u w:val="none"/>
          <w:vertAlign w:val="baseline"/>
        </w:rPr>
        <w:t xml:space="preserve">In considering a motion under </w:t>
      </w:r>
      <w:hyperlink r:id="rId1"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or </w:t>
      </w:r>
      <w:hyperlink r:id="rId1" w:history="1">
        <w:r>
          <w:rPr>
            <w:rFonts w:ascii="arial" w:eastAsia="arial" w:hAnsi="arial" w:cs="arial"/>
            <w:b w:val="0"/>
            <w:i/>
            <w:strike w:val="0"/>
            <w:noProof w:val="0"/>
            <w:color w:val="0077CC"/>
            <w:position w:val="0"/>
            <w:sz w:val="18"/>
            <w:u w:val="single"/>
            <w:vertAlign w:val="baseline"/>
          </w:rPr>
          <w:t>12(c)</w:t>
        </w:r>
      </w:hyperlink>
      <w:r>
        <w:rPr>
          <w:rFonts w:ascii="arial" w:eastAsia="arial" w:hAnsi="arial" w:cs="arial"/>
          <w:b w:val="0"/>
          <w:i w:val="0"/>
          <w:strike w:val="0"/>
          <w:noProof w:val="0"/>
          <w:color w:val="000000"/>
          <w:position w:val="0"/>
          <w:sz w:val="18"/>
          <w:u w:val="none"/>
          <w:vertAlign w:val="baseline"/>
        </w:rPr>
        <w:t xml:space="preserve">, the Court accepts as true all of the facts in the complaint and draws all reasonable inferences in favor of the nonmoving party. </w:t>
      </w:r>
      <w:bookmarkStart w:id="13" w:name="Bookmark_I5T1BPPD2SF82X0010000400"/>
      <w:bookmarkEnd w:id="13"/>
      <w:bookmarkStart w:id="14" w:name="Bookmark_I5T1BPPD2N1R400010000400"/>
      <w:bookmarkEnd w:id="14"/>
      <w:hyperlink r:id="rId2" w:history="1">
        <w:r>
          <w:rPr>
            <w:rFonts w:ascii="arial" w:eastAsia="arial" w:hAnsi="arial" w:cs="arial"/>
            <w:b w:val="0"/>
            <w:i/>
            <w:strike w:val="0"/>
            <w:noProof w:val="0"/>
            <w:color w:val="0077CC"/>
            <w:position w:val="0"/>
            <w:sz w:val="18"/>
            <w:u w:val="single"/>
            <w:vertAlign w:val="baseline"/>
          </w:rPr>
          <w:t>Bayer Chemicals Corp. v. Albermarle Corp.</w:t>
        </w:r>
      </w:hyperlink>
      <w:hyperlink r:id="rId2" w:history="1">
        <w:r>
          <w:rPr>
            <w:rFonts w:ascii="arial" w:eastAsia="arial" w:hAnsi="arial" w:cs="arial"/>
            <w:b w:val="0"/>
            <w:i/>
            <w:strike w:val="0"/>
            <w:noProof w:val="0"/>
            <w:color w:val="0077CC"/>
            <w:position w:val="0"/>
            <w:sz w:val="18"/>
            <w:u w:val="single"/>
            <w:vertAlign w:val="baseline"/>
          </w:rPr>
          <w:t>, 171 F. App'x 392, 397 (3d Cir. 2006)</w:t>
        </w:r>
      </w:hyperlink>
      <w:r>
        <w:rPr>
          <w:rFonts w:ascii="arial" w:eastAsia="arial" w:hAnsi="arial" w:cs="arial"/>
          <w:b w:val="0"/>
          <w:i w:val="0"/>
          <w:strike w:val="0"/>
          <w:noProof w:val="0"/>
          <w:color w:val="000000"/>
          <w:position w:val="0"/>
          <w:sz w:val="18"/>
          <w:u w:val="none"/>
          <w:vertAlign w:val="baseline"/>
        </w:rPr>
        <w:t xml:space="preserve">. The facts alleged must be "more than labels and conclusions, and a formulaic recitation of the elements of a cause of action will not do." </w:t>
      </w:r>
      <w:bookmarkStart w:id="15" w:name="Bookmark_I5T1BPPD2N1R400030000400"/>
      <w:bookmarkEnd w:id="15"/>
      <w:hyperlink r:id="rId3" w:history="1">
        <w:r>
          <w:rPr>
            <w:rFonts w:ascii="arial" w:eastAsia="arial" w:hAnsi="arial" w:cs="arial"/>
            <w:b w:val="0"/>
            <w:i/>
            <w:strike w:val="0"/>
            <w:noProof w:val="0"/>
            <w:color w:val="0077CC"/>
            <w:position w:val="0"/>
            <w:sz w:val="18"/>
            <w:u w:val="single"/>
            <w:vertAlign w:val="baseline"/>
          </w:rPr>
          <w:t>Bell Atl. Corp. v. Twombly</w:t>
        </w:r>
      </w:hyperlink>
      <w:hyperlink r:id="rId3" w:history="1">
        <w:r>
          <w:rPr>
            <w:rFonts w:ascii="arial" w:eastAsia="arial" w:hAnsi="arial" w:cs="arial"/>
            <w:b w:val="0"/>
            <w:i/>
            <w:strike w:val="0"/>
            <w:noProof w:val="0"/>
            <w:color w:val="0077CC"/>
            <w:position w:val="0"/>
            <w:sz w:val="18"/>
            <w:u w:val="single"/>
            <w:vertAlign w:val="baseline"/>
          </w:rPr>
          <w:t>, 550 U.S. 544, 555, 127 S. Ct. 1955, 167 L. Ed. 2d 929 (2007)</w:t>
        </w:r>
      </w:hyperlink>
      <w:r>
        <w:rPr>
          <w:rFonts w:ascii="arial" w:eastAsia="arial" w:hAnsi="arial" w:cs="arial"/>
          <w:b w:val="0"/>
          <w:i w:val="0"/>
          <w:strike w:val="0"/>
          <w:noProof w:val="0"/>
          <w:color w:val="000000"/>
          <w:position w:val="0"/>
          <w:sz w:val="18"/>
          <w:u w:val="none"/>
          <w:vertAlign w:val="baseline"/>
        </w:rPr>
        <w:t xml:space="preserve">. </w:t>
      </w:r>
      <w:bookmarkStart w:id="16" w:name="Bookmark_I5T1BPPD2SF82X0010000400_2"/>
      <w:bookmarkEnd w:id="16"/>
      <w:r>
        <w:rPr>
          <w:rFonts w:ascii="arial" w:eastAsia="arial" w:hAnsi="arial" w:cs="arial"/>
          <w:b w:val="0"/>
          <w:i w:val="0"/>
          <w:strike w:val="0"/>
          <w:noProof w:val="0"/>
          <w:color w:val="000000"/>
          <w:position w:val="0"/>
          <w:sz w:val="18"/>
          <w:u w:val="none"/>
          <w:vertAlign w:val="baseline"/>
        </w:rPr>
        <w:t xml:space="preserve">A complaint will survive a motion to dismiss for failure to state a claim if it states a claim for relief that is plausible on its face. </w:t>
      </w:r>
      <w:bookmarkStart w:id="17" w:name="Bookmark_I5T1BPPD2N1R400050000400"/>
      <w:bookmarkEnd w:id="17"/>
      <w:hyperlink r:id="rId4" w:history="1">
        <w:r>
          <w:rPr>
            <w:rFonts w:ascii="arial" w:eastAsia="arial" w:hAnsi="arial" w:cs="arial"/>
            <w:b w:val="0"/>
            <w:i/>
            <w:strike w:val="0"/>
            <w:noProof w:val="0"/>
            <w:color w:val="0077CC"/>
            <w:position w:val="0"/>
            <w:sz w:val="18"/>
            <w:u w:val="single"/>
            <w:vertAlign w:val="baseline"/>
          </w:rPr>
          <w:t>Ashcroft v. Iqbal</w:t>
        </w:r>
      </w:hyperlink>
      <w:hyperlink r:id="rId4" w:history="1">
        <w:r>
          <w:rPr>
            <w:rFonts w:ascii="arial" w:eastAsia="arial" w:hAnsi="arial" w:cs="arial"/>
            <w:b w:val="0"/>
            <w:i/>
            <w:strike w:val="0"/>
            <w:noProof w:val="0"/>
            <w:color w:val="0077CC"/>
            <w:position w:val="0"/>
            <w:sz w:val="18"/>
            <w:u w:val="single"/>
            <w:vertAlign w:val="baseline"/>
          </w:rPr>
          <w:t>, 556 U.S. 662, 679, 129 S. Ct. 1937, 173 L. Ed. 2d 868 (2009)</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1" w:name="Bookmark_fnpara_2"/>
      <w:bookmarkEnd w:id="21"/>
      <w:r>
        <w:rPr>
          <w:rFonts w:ascii="arial" w:eastAsia="arial" w:hAnsi="arial" w:cs="arial"/>
          <w:b w:val="0"/>
          <w:i w:val="0"/>
          <w:strike w:val="0"/>
          <w:noProof w:val="0"/>
          <w:color w:val="000000"/>
          <w:position w:val="0"/>
          <w:sz w:val="18"/>
          <w:u w:val="none"/>
          <w:vertAlign w:val="baseline"/>
        </w:rPr>
        <w:t xml:space="preserve">Under New Jersey law, the elements of a breach of contract are that: (1) the parties entered into a valid contract; (2) the defendant failed to perform its contractual obligation; and as a result (3) the plaintiff sustained damages. </w:t>
      </w:r>
      <w:bookmarkStart w:id="22" w:name="Bookmark_I5T1BPPD2SF82X0020000400"/>
      <w:bookmarkEnd w:id="22"/>
      <w:hyperlink r:id="rId5" w:history="1">
        <w:r>
          <w:rPr>
            <w:rFonts w:ascii="arial" w:eastAsia="arial" w:hAnsi="arial" w:cs="arial"/>
            <w:b w:val="0"/>
            <w:i/>
            <w:strike w:val="0"/>
            <w:noProof w:val="0"/>
            <w:color w:val="0077CC"/>
            <w:position w:val="0"/>
            <w:sz w:val="18"/>
            <w:u w:val="single"/>
            <w:vertAlign w:val="baseline"/>
          </w:rPr>
          <w:t>Sheet Metal Workers Int'l Ass'n Local Union No. 27, AFL—CIO v. E.P. Donnelly, Inc.</w:t>
        </w:r>
      </w:hyperlink>
      <w:hyperlink r:id="rId5" w:history="1">
        <w:r>
          <w:rPr>
            <w:rFonts w:ascii="arial" w:eastAsia="arial" w:hAnsi="arial" w:cs="arial"/>
            <w:b w:val="0"/>
            <w:i/>
            <w:strike w:val="0"/>
            <w:noProof w:val="0"/>
            <w:color w:val="0077CC"/>
            <w:position w:val="0"/>
            <w:sz w:val="18"/>
            <w:u w:val="single"/>
            <w:vertAlign w:val="baseline"/>
          </w:rPr>
          <w:t>, 737 F.3d 879, 900 (3d Cir. 2013)</w:t>
        </w:r>
      </w:hyperlink>
      <w:r>
        <w:rPr>
          <w:rFonts w:ascii="arial" w:eastAsia="arial" w:hAnsi="arial" w:cs="arial"/>
          <w:b w:val="0"/>
          <w:i w:val="0"/>
          <w:strike w:val="0"/>
          <w:noProof w:val="0"/>
          <w:color w:val="000000"/>
          <w:position w:val="0"/>
          <w:sz w:val="18"/>
          <w:u w:val="none"/>
          <w:vertAlign w:val="baseline"/>
        </w:rPr>
        <w:t xml:space="preserve"> (citing </w:t>
      </w:r>
      <w:bookmarkStart w:id="23" w:name="Bookmark_I5T1BPPD2SF82X0040000400"/>
      <w:bookmarkEnd w:id="23"/>
      <w:hyperlink r:id="rId6" w:history="1">
        <w:r>
          <w:rPr>
            <w:rFonts w:ascii="arial" w:eastAsia="arial" w:hAnsi="arial" w:cs="arial"/>
            <w:b w:val="0"/>
            <w:i/>
            <w:strike w:val="0"/>
            <w:noProof w:val="0"/>
            <w:color w:val="0077CC"/>
            <w:position w:val="0"/>
            <w:sz w:val="18"/>
            <w:u w:val="single"/>
            <w:vertAlign w:val="baseline"/>
          </w:rPr>
          <w:t>Coyle v. Englander's</w:t>
        </w:r>
      </w:hyperlink>
      <w:hyperlink r:id="rId6" w:history="1">
        <w:r>
          <w:rPr>
            <w:rFonts w:ascii="arial" w:eastAsia="arial" w:hAnsi="arial" w:cs="arial"/>
            <w:b w:val="0"/>
            <w:i/>
            <w:strike w:val="0"/>
            <w:noProof w:val="0"/>
            <w:color w:val="0077CC"/>
            <w:position w:val="0"/>
            <w:sz w:val="18"/>
            <w:u w:val="single"/>
            <w:vertAlign w:val="baseline"/>
          </w:rPr>
          <w:t>, 199 N.J. Super. 212, 488 A.2d 1083 (App. Div. 1985))</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6" w:name="Bookmark_fnpara_3"/>
      <w:bookmarkEnd w:id="26"/>
      <w:r>
        <w:rPr>
          <w:rFonts w:ascii="arial" w:eastAsia="arial" w:hAnsi="arial" w:cs="arial"/>
          <w:b w:val="0"/>
          <w:i w:val="0"/>
          <w:strike w:val="0"/>
          <w:noProof w:val="0"/>
          <w:color w:val="000000"/>
          <w:position w:val="0"/>
          <w:sz w:val="18"/>
          <w:u w:val="none"/>
          <w:vertAlign w:val="baseline"/>
        </w:rPr>
        <w:t xml:space="preserve">At the pleading stage, a plaintiff may assert both contract and unjust enrichment claims as an alternative cause of action. </w:t>
      </w:r>
      <w:r>
        <w:rPr>
          <w:rFonts w:ascii="arial" w:eastAsia="arial" w:hAnsi="arial" w:cs="arial"/>
          <w:b w:val="0"/>
          <w:i w:val="0"/>
          <w:strike w:val="0"/>
          <w:noProof w:val="0"/>
          <w:color w:val="000000"/>
          <w:position w:val="0"/>
          <w:sz w:val="18"/>
          <w:u w:val="single"/>
          <w:vertAlign w:val="baseline"/>
        </w:rPr>
        <w:t xml:space="preserve">See </w:t>
      </w:r>
      <w:bookmarkStart w:id="27" w:name="Bookmark_I5T1BPPD2HM62V0010000400"/>
      <w:bookmarkEnd w:id="27"/>
      <w:hyperlink r:id="rId7" w:history="1">
        <w:r>
          <w:rPr>
            <w:rFonts w:ascii="arial" w:eastAsia="arial" w:hAnsi="arial" w:cs="arial"/>
            <w:b w:val="0"/>
            <w:i/>
            <w:strike w:val="0"/>
            <w:noProof w:val="0"/>
            <w:color w:val="0077CC"/>
            <w:position w:val="0"/>
            <w:sz w:val="18"/>
            <w:u w:val="single"/>
            <w:vertAlign w:val="baseline"/>
          </w:rPr>
          <w:t>SDC Information Services, Inc. v. Intelligroup, Inc.</w:t>
        </w:r>
      </w:hyperlink>
      <w:hyperlink r:id="rId7" w:history="1">
        <w:r>
          <w:rPr>
            <w:rFonts w:ascii="arial" w:eastAsia="arial" w:hAnsi="arial" w:cs="arial"/>
            <w:b w:val="0"/>
            <w:i/>
            <w:strike w:val="0"/>
            <w:noProof w:val="0"/>
            <w:color w:val="0077CC"/>
            <w:position w:val="0"/>
            <w:sz w:val="18"/>
            <w:u w:val="single"/>
            <w:vertAlign w:val="baseline"/>
          </w:rPr>
          <w:t>, No. 11-05874, 2012 U.S. Dist. LEXIS 80792, 2012 WL 2119156, at *2 (D.N.J. June 11, 2012)</w:t>
        </w:r>
      </w:hyperlink>
      <w:r>
        <w:rPr>
          <w:rFonts w:ascii="arial" w:eastAsia="arial" w:hAnsi="arial" w:cs="arial"/>
          <w:b w:val="0"/>
          <w:i w:val="0"/>
          <w:strike w:val="0"/>
          <w:noProof w:val="0"/>
          <w:color w:val="000000"/>
          <w:position w:val="0"/>
          <w:sz w:val="18"/>
          <w:u w:val="none"/>
          <w:vertAlign w:val="baseline"/>
        </w:rPr>
        <w:t xml:space="preserve"> (citing </w:t>
      </w:r>
      <w:bookmarkStart w:id="28" w:name="Bookmark_I5T1BPPD2HM62V0030000400"/>
      <w:bookmarkEnd w:id="28"/>
      <w:hyperlink r:id="rId8" w:history="1">
        <w:r>
          <w:rPr>
            <w:rFonts w:ascii="arial" w:eastAsia="arial" w:hAnsi="arial" w:cs="arial"/>
            <w:b w:val="0"/>
            <w:i/>
            <w:strike w:val="0"/>
            <w:noProof w:val="0"/>
            <w:color w:val="0077CC"/>
            <w:position w:val="0"/>
            <w:sz w:val="18"/>
            <w:u w:val="single"/>
            <w:vertAlign w:val="baseline"/>
          </w:rPr>
          <w:t>MK Strategies, LLC v. Ann Taylor Stores Corp.</w:t>
        </w:r>
      </w:hyperlink>
      <w:hyperlink r:id="rId8" w:history="1">
        <w:r>
          <w:rPr>
            <w:rFonts w:ascii="arial" w:eastAsia="arial" w:hAnsi="arial" w:cs="arial"/>
            <w:b w:val="0"/>
            <w:i/>
            <w:strike w:val="0"/>
            <w:noProof w:val="0"/>
            <w:color w:val="0077CC"/>
            <w:position w:val="0"/>
            <w:sz w:val="18"/>
            <w:u w:val="single"/>
            <w:vertAlign w:val="baseline"/>
          </w:rPr>
          <w:t>, 567 F.Supp.2d 729 (D.N.J. 2008))</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31" w:name="Bookmark_fnpara_4"/>
      <w:bookmarkEnd w:id="31"/>
      <w:r>
        <w:rPr>
          <w:rFonts w:ascii="arial" w:eastAsia="arial" w:hAnsi="arial" w:cs="arial"/>
          <w:b w:val="0"/>
          <w:i w:val="0"/>
          <w:strike w:val="0"/>
          <w:noProof w:val="0"/>
          <w:color w:val="000000"/>
          <w:position w:val="0"/>
          <w:sz w:val="18"/>
          <w:u w:val="none"/>
          <w:vertAlign w:val="baseline"/>
        </w:rPr>
        <w:t xml:space="preserve">"Generally, to claim unjust enrichment, a plaintiff must allege that (1) at plaintiff's expense (2) defendant received benefit (3) under circumstances that would make it unjust for defendant to retain benefit without paying for it." </w:t>
      </w:r>
      <w:bookmarkStart w:id="32" w:name="Bookmark_I5T1BPPD2HM62V0050000400"/>
      <w:bookmarkEnd w:id="32"/>
      <w:hyperlink r:id="rId9" w:history="1">
        <w:r>
          <w:rPr>
            <w:rFonts w:ascii="arial" w:eastAsia="arial" w:hAnsi="arial" w:cs="arial"/>
            <w:b w:val="0"/>
            <w:i/>
            <w:strike w:val="0"/>
            <w:noProof w:val="0"/>
            <w:color w:val="0077CC"/>
            <w:position w:val="0"/>
            <w:sz w:val="18"/>
            <w:u w:val="single"/>
            <w:vertAlign w:val="baseline"/>
          </w:rPr>
          <w:t>In re Ford Motor Co. E—350 Van Prods. Liab. Litig.</w:t>
        </w:r>
      </w:hyperlink>
      <w:hyperlink r:id="rId9" w:history="1">
        <w:r>
          <w:rPr>
            <w:rFonts w:ascii="arial" w:eastAsia="arial" w:hAnsi="arial" w:cs="arial"/>
            <w:b w:val="0"/>
            <w:i/>
            <w:strike w:val="0"/>
            <w:noProof w:val="0"/>
            <w:color w:val="0077CC"/>
            <w:position w:val="0"/>
            <w:sz w:val="18"/>
            <w:u w:val="single"/>
            <w:vertAlign w:val="baseline"/>
          </w:rPr>
          <w:t>, No. 03-4558, 2008 U.S. Dist. LEXIS 73690, 2008 WL 4126264, at *21 (D.N.J. Sept. 3, 2008)</w:t>
        </w:r>
      </w:hyperlink>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val="0"/>
          <w:i w:val="0"/>
          <w:strike w:val="0"/>
          <w:noProof w:val="0"/>
          <w:color w:val="000000"/>
          <w:position w:val="0"/>
          <w:sz w:val="18"/>
          <w:u w:val="single"/>
          <w:vertAlign w:val="baseline"/>
        </w:rPr>
        <w:t>In re K—</w:t>
      </w:r>
      <w:bookmarkStart w:id="33" w:name="Bookmark_I5T1BPPF28T5220020000400"/>
      <w:bookmarkEnd w:id="33"/>
      <w:hyperlink r:id="rId10" w:history="1">
        <w:r>
          <w:rPr>
            <w:rFonts w:ascii="arial" w:eastAsia="arial" w:hAnsi="arial" w:cs="arial"/>
            <w:b w:val="0"/>
            <w:i/>
            <w:strike w:val="0"/>
            <w:noProof w:val="0"/>
            <w:color w:val="0077CC"/>
            <w:position w:val="0"/>
            <w:sz w:val="18"/>
            <w:u w:val="single"/>
            <w:vertAlign w:val="baseline"/>
          </w:rPr>
          <w:t xml:space="preserve">Dur </w:t>
        </w:r>
      </w:hyperlink>
      <w:hyperlink r:id="rId10" w:history="1">
        <w:r>
          <w:rPr>
            <w:rFonts w:ascii="arial" w:eastAsia="arial" w:hAnsi="arial" w:cs="arial"/>
            <w:b/>
            <w:i/>
            <w:strike w:val="0"/>
            <w:noProof w:val="0"/>
            <w:color w:val="0077CC"/>
            <w:position w:val="0"/>
            <w:sz w:val="18"/>
            <w:u w:val="single"/>
            <w:vertAlign w:val="baseline"/>
          </w:rPr>
          <w:t>Antitrust</w:t>
        </w:r>
      </w:hyperlink>
      <w:hyperlink r:id="rId10" w:history="1">
        <w:r>
          <w:rPr>
            <w:rFonts w:ascii="arial" w:eastAsia="arial" w:hAnsi="arial" w:cs="arial"/>
            <w:b w:val="0"/>
            <w:i/>
            <w:strike w:val="0"/>
            <w:noProof w:val="0"/>
            <w:color w:val="0077CC"/>
            <w:position w:val="0"/>
            <w:sz w:val="18"/>
            <w:u w:val="single"/>
            <w:vertAlign w:val="baseline"/>
          </w:rPr>
          <w:t xml:space="preserve"> Litig.</w:t>
        </w:r>
      </w:hyperlink>
      <w:hyperlink r:id="rId10" w:history="1">
        <w:r>
          <w:rPr>
            <w:rFonts w:ascii="arial" w:eastAsia="arial" w:hAnsi="arial" w:cs="arial"/>
            <w:b w:val="0"/>
            <w:i/>
            <w:strike w:val="0"/>
            <w:noProof w:val="0"/>
            <w:color w:val="0077CC"/>
            <w:position w:val="0"/>
            <w:sz w:val="18"/>
            <w:u w:val="single"/>
            <w:vertAlign w:val="baseline"/>
          </w:rPr>
          <w:t>, 338 F.Supp.2d 517, 544 (D.N.J. 2004))</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7" w:name="Bookmark_fnpara_5"/>
      <w:bookmarkEnd w:id="37"/>
      <w:r>
        <w:rPr>
          <w:rFonts w:ascii="arial" w:eastAsia="arial" w:hAnsi="arial" w:cs="arial"/>
          <w:b w:val="0"/>
          <w:i w:val="0"/>
          <w:strike w:val="0"/>
          <w:noProof w:val="0"/>
          <w:color w:val="000000"/>
          <w:position w:val="0"/>
          <w:sz w:val="18"/>
          <w:u w:val="none"/>
          <w:vertAlign w:val="baseline"/>
        </w:rPr>
        <w:t xml:space="preserve">"The elements of promissory estoppel are: (1) a clear and definite promise, (2) made with the expectation that the promisee will rely upon it, (3) reasonable reliance upon the promise, (4) which results in definite and substantial detriment." </w:t>
      </w:r>
      <w:bookmarkStart w:id="38" w:name="Bookmark_I5T1BPPF28T5220040000400"/>
      <w:bookmarkEnd w:id="38"/>
      <w:hyperlink r:id="rId11" w:history="1">
        <w:r>
          <w:rPr>
            <w:rFonts w:ascii="arial" w:eastAsia="arial" w:hAnsi="arial" w:cs="arial"/>
            <w:b w:val="0"/>
            <w:i/>
            <w:strike w:val="0"/>
            <w:noProof w:val="0"/>
            <w:color w:val="0077CC"/>
            <w:position w:val="0"/>
            <w:sz w:val="18"/>
            <w:u w:val="single"/>
            <w:vertAlign w:val="baseline"/>
          </w:rPr>
          <w:t>East Orange Bd. Of Educ. v. N.J. Sch. Const. Corp.</w:t>
        </w:r>
      </w:hyperlink>
      <w:hyperlink r:id="rId11" w:history="1">
        <w:r>
          <w:rPr>
            <w:rFonts w:ascii="arial" w:eastAsia="arial" w:hAnsi="arial" w:cs="arial"/>
            <w:b w:val="0"/>
            <w:i/>
            <w:strike w:val="0"/>
            <w:noProof w:val="0"/>
            <w:color w:val="0077CC"/>
            <w:position w:val="0"/>
            <w:sz w:val="18"/>
            <w:u w:val="single"/>
            <w:vertAlign w:val="baseline"/>
          </w:rPr>
          <w:t>, 405 N.J. Super. 132, 148, 963 A.2d 865 (App. Div. 2009)</w:t>
        </w:r>
      </w:hyperlink>
      <w:r>
        <w:rPr>
          <w:rFonts w:ascii="arial" w:eastAsia="arial" w:hAnsi="arial" w:cs="arial"/>
          <w:b w:val="0"/>
          <w:i w:val="0"/>
          <w:strike w:val="0"/>
          <w:noProof w:val="0"/>
          <w:color w:val="000000"/>
          <w:position w:val="0"/>
          <w:sz w:val="18"/>
          <w:u w:val="none"/>
          <w:vertAlign w:val="baseline"/>
        </w:rPr>
        <w:t xml:space="preserve"> (internal quotations omitted).</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2" w:name="Bookmark_fnpara_6"/>
      <w:bookmarkEnd w:id="42"/>
      <w:r>
        <w:rPr>
          <w:rFonts w:ascii="arial" w:eastAsia="arial" w:hAnsi="arial" w:cs="arial"/>
          <w:b w:val="0"/>
          <w:i w:val="0"/>
          <w:strike w:val="0"/>
          <w:noProof w:val="0"/>
          <w:color w:val="000000"/>
          <w:position w:val="0"/>
          <w:sz w:val="18"/>
          <w:u w:val="none"/>
          <w:vertAlign w:val="baseline"/>
        </w:rPr>
        <w:t xml:space="preserve">The elements for a claim of negligent misrepresentation are: "(1) an incorrect statement, (2) negligently made, (3) justifiably relied on, (4) resulting in economic loss." </w:t>
      </w:r>
      <w:bookmarkStart w:id="43" w:name="Bookmark_I5T1BPPF2N1R410010000400"/>
      <w:bookmarkEnd w:id="43"/>
      <w:hyperlink r:id="rId12" w:history="1">
        <w:r>
          <w:rPr>
            <w:rFonts w:ascii="arial" w:eastAsia="arial" w:hAnsi="arial" w:cs="arial"/>
            <w:b w:val="0"/>
            <w:i/>
            <w:strike w:val="0"/>
            <w:noProof w:val="0"/>
            <w:color w:val="0077CC"/>
            <w:position w:val="0"/>
            <w:sz w:val="18"/>
            <w:u w:val="single"/>
            <w:vertAlign w:val="baseline"/>
          </w:rPr>
          <w:t>Andreula v. Capital One Financial Corp.</w:t>
        </w:r>
      </w:hyperlink>
      <w:hyperlink r:id="rId12" w:history="1">
        <w:r>
          <w:rPr>
            <w:rFonts w:ascii="arial" w:eastAsia="arial" w:hAnsi="arial" w:cs="arial"/>
            <w:b w:val="0"/>
            <w:i/>
            <w:strike w:val="0"/>
            <w:noProof w:val="0"/>
            <w:color w:val="0077CC"/>
            <w:position w:val="0"/>
            <w:sz w:val="18"/>
            <w:u w:val="single"/>
            <w:vertAlign w:val="baseline"/>
          </w:rPr>
          <w:t>, No. 14-5276, 2016 U.S. Dist. LEXIS 163258, 2016 WL 6953422, at *3 (D.N.J. Nov. 28, 2016)</w:t>
        </w:r>
      </w:hyperlink>
      <w:r>
        <w:rPr>
          <w:rFonts w:ascii="arial" w:eastAsia="arial" w:hAnsi="arial" w:cs="arial"/>
          <w:b w:val="0"/>
          <w:i w:val="0"/>
          <w:strike w:val="0"/>
          <w:noProof w:val="0"/>
          <w:color w:val="000000"/>
          <w:position w:val="0"/>
          <w:sz w:val="18"/>
          <w:u w:val="none"/>
          <w:vertAlign w:val="baseline"/>
        </w:rPr>
        <w:t xml:space="preserve"> (internal quotations omitted); </w:t>
      </w:r>
      <w:r>
        <w:rPr>
          <w:rFonts w:ascii="arial" w:eastAsia="arial" w:hAnsi="arial" w:cs="arial"/>
          <w:b w:val="0"/>
          <w:i w:val="0"/>
          <w:strike w:val="0"/>
          <w:noProof w:val="0"/>
          <w:color w:val="000000"/>
          <w:position w:val="0"/>
          <w:sz w:val="18"/>
          <w:u w:val="single"/>
          <w:vertAlign w:val="baseline"/>
        </w:rPr>
        <w:t xml:space="preserve">see also </w:t>
      </w:r>
      <w:bookmarkStart w:id="44" w:name="Bookmark_I5T1BPPF2N1R410030000400"/>
      <w:bookmarkEnd w:id="44"/>
      <w:hyperlink r:id="rId13" w:history="1">
        <w:r>
          <w:rPr>
            <w:rFonts w:ascii="arial" w:eastAsia="arial" w:hAnsi="arial" w:cs="arial"/>
            <w:b w:val="0"/>
            <w:i/>
            <w:strike w:val="0"/>
            <w:noProof w:val="0"/>
            <w:color w:val="0077CC"/>
            <w:position w:val="0"/>
            <w:sz w:val="18"/>
            <w:u w:val="single"/>
            <w:vertAlign w:val="baseline"/>
          </w:rPr>
          <w:t>H. Rosenblum, Inc. v. Adler</w:t>
        </w:r>
      </w:hyperlink>
      <w:hyperlink r:id="rId13" w:history="1">
        <w:r>
          <w:rPr>
            <w:rFonts w:ascii="arial" w:eastAsia="arial" w:hAnsi="arial" w:cs="arial"/>
            <w:b w:val="0"/>
            <w:i/>
            <w:strike w:val="0"/>
            <w:noProof w:val="0"/>
            <w:color w:val="0077CC"/>
            <w:position w:val="0"/>
            <w:sz w:val="18"/>
            <w:u w:val="single"/>
            <w:vertAlign w:val="baseline"/>
          </w:rPr>
          <w:t>, 93 N.J. 324, 334, 461 A.2d 138 (1983)</w:t>
        </w:r>
      </w:hyperlink>
      <w:r>
        <w:rPr>
          <w:rFonts w:ascii="arial" w:eastAsia="arial" w:hAnsi="arial" w:cs="arial"/>
          <w:b w:val="0"/>
          <w:i w:val="0"/>
          <w:strike w:val="0"/>
          <w:noProof w:val="0"/>
          <w:color w:val="000000"/>
          <w:position w:val="0"/>
          <w:sz w:val="18"/>
          <w:u w:val="none"/>
          <w:vertAlign w:val="baseline"/>
        </w:rPr>
        <w:t xml:space="preserve"> ("An incorrect statement, negligently made and justifiably relied upon, may be the basis for recovery of damages for economic loss or injury sustained as a consequence of that reliance.").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Rowland Global LLC v. Good Clean Love,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SV2-36F1-FGY5-M2Y0-00000-00&amp;context=" TargetMode="External" /><Relationship Id="rId9" Type="http://schemas.openxmlformats.org/officeDocument/2006/relationships/hyperlink" Target="https://advance.lexis.com/api/document?collection=statutes-legislation&amp;id=urn:contentItem:5GYC-1WP1-6N19-F0Y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0YW-00000-00&amp;context=" TargetMode="External" /><Relationship Id="rId10" Type="http://schemas.openxmlformats.org/officeDocument/2006/relationships/hyperlink" Target="https://advance.lexis.com/api/document?collection=cases&amp;id=urn:contentItem:4DGB-TC80-0038-Y415-00000-00&amp;context=" TargetMode="External" /><Relationship Id="rId11" Type="http://schemas.openxmlformats.org/officeDocument/2006/relationships/hyperlink" Target="https://advance.lexis.com/api/document?collection=cases&amp;id=urn:contentItem:4VHW-73V0-TXFV-F2T2-00000-00&amp;context=" TargetMode="External" /><Relationship Id="rId12" Type="http://schemas.openxmlformats.org/officeDocument/2006/relationships/hyperlink" Target="https://advance.lexis.com/api/document?collection=cases&amp;id=urn:contentItem:5M8K-1531-F04D-W06T-00000-00&amp;context=" TargetMode="External" /><Relationship Id="rId13" Type="http://schemas.openxmlformats.org/officeDocument/2006/relationships/hyperlink" Target="https://advance.lexis.com/api/document?collection=cases&amp;id=urn:contentItem:3S3J-W1P0-003C-P3WX-00000-00&amp;context=" TargetMode="External" /><Relationship Id="rId2" Type="http://schemas.openxmlformats.org/officeDocument/2006/relationships/hyperlink" Target="https://advance.lexis.com/api/document?collection=cases&amp;id=urn:contentItem:4JJ1-S8V0-0038-X1VH-00000-00&amp;context=" TargetMode="External" /><Relationship Id="rId3" Type="http://schemas.openxmlformats.org/officeDocument/2006/relationships/hyperlink" Target="https://advance.lexis.com/api/document?collection=cases&amp;id=urn:contentItem:4NSN-8840-004C-002M-00000-00&amp;context=" TargetMode="External" /><Relationship Id="rId4" Type="http://schemas.openxmlformats.org/officeDocument/2006/relationships/hyperlink" Target="https://advance.lexis.com/api/document?collection=cases&amp;id=urn:contentItem:4W9Y-4KS0-TXFX-1325-00000-00&amp;context=" TargetMode="External" /><Relationship Id="rId5" Type="http://schemas.openxmlformats.org/officeDocument/2006/relationships/hyperlink" Target="https://advance.lexis.com/api/document?collection=cases&amp;id=urn:contentItem:5B22-C1J1-F04K-K14F-00000-00&amp;context=" TargetMode="External" /><Relationship Id="rId6" Type="http://schemas.openxmlformats.org/officeDocument/2006/relationships/hyperlink" Target="https://advance.lexis.com/api/document?collection=cases&amp;id=urn:contentItem:3S3J-WVH0-003C-P4WJ-00000-00&amp;context=" TargetMode="External" /><Relationship Id="rId7" Type="http://schemas.openxmlformats.org/officeDocument/2006/relationships/hyperlink" Target="https://advance.lexis.com/api/document?collection=cases&amp;id=urn:contentItem:55VX-D941-F04D-W25J-00000-00&amp;context=" TargetMode="External" /><Relationship Id="rId8" Type="http://schemas.openxmlformats.org/officeDocument/2006/relationships/hyperlink" Target="https://advance.lexis.com/api/document?collection=cases&amp;id=urn:contentItem:4T4Y-VRY0-TXFR-F24K-00000-00&amp;context=" TargetMode="External" /><Relationship Id="rId9" Type="http://schemas.openxmlformats.org/officeDocument/2006/relationships/hyperlink" Target="https://advance.lexis.com/api/document?collection=cases&amp;id=urn:contentItem:4TJ2-7RM0-TXFR-F30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Discopolus LLC v. City of Reno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71542276</vt:lpwstr>
  </property>
  <property fmtid="{D5CDD505-2E9C-101B-9397-08002B2CF9AE}" pid="3" name="LADocCount">
    <vt:lpwstr>1</vt:lpwstr>
  </property>
  <property fmtid="{D5CDD505-2E9C-101B-9397-08002B2CF9AE}" pid="4" name="UserPermID">
    <vt:lpwstr>urn:user:PA185916758</vt:lpwstr>
  </property>
</Properties>
</file>