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2:56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Sand-Smith v. Liberty Life Assur.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Montana, Billings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18, 2017, Decided; December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CV 17-0004-BLG-SPW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208486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6501862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THERESA SAND-SMITH, Plaintiff, vs. LIBERTY LIFE ASSURANCE COMPANY OF BOSTON,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Sand-Smith v. Liberty Life Assur. Co., 2017 U.S. Dist. LEXIS 45808 (D. Mont., Mar. 28,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contempt, summary judgment order, motion to stay, irreparable harm, disability benefits, mental health, parity, attorney's fees, money judgment, pending appeal, disability, costs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Theresa Sand-Smith, Plaintiff: Donald L. Harris, LEAD ATTORNEY, HARRIS, GANNETT &amp; VARELA, PLLC, Billings,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Liberty Life Assurance Company of Boston, Defendant: Mary E. Duncan, LEAD ATTORNEY, Felt, Martin, Frazier &amp; Weldon, P.C., Billings, MT.</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SUSAN P. WATTERS,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SUSAN P. WATTERS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Plaintiff Theresa Sand-Smith's motion for contempt (Doc. 55) and Defendant Liberty Life's motion to stay pending appeal (Doc. 58). For the foregoing reasons, the Court denies the motion for contempt and grants in part and denies in part the motion to stay pending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history</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December 1, 2016, Sand-Smith filed a complaint seeking clarification of future benefits under her ERISA plan. Doc. 6. On September 20, 2017, the Court granted summary judgment to Sand-Smith. Doc. 47. On October 23, 2017, the Court awarded Sand-Smith attorney fees and costs. Doc. 51. The same day, judgment was entered in favor of Sand-Smith. Doc. 52. On November 14, 2017, Sand-Smith filed a motion for contempt on the ground that Liberty Life refused to reinstate her disability benefits after entry of judgment. Doc. 55. On November 21, 2017, Liberty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Life filed its notice of appeal. Doc. 57. The same day, Liberty Life filed a motion to stay the Court's judgment pending appeal. Doc. 58.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Court's summary judgment order</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Sand-Smith's complaint sought a narrow clarification of her long term disability plan. Sand-Smith's disability plan contained a provision that limited benefits to 24 months if her disability was a mental illness. Sand-Smith argued the mental illness provision was void because it conflicted with Montana's mental health parity law, </w:t>
      </w:r>
      <w:hyperlink r:id="rId11" w:history="1">
        <w:r>
          <w:rPr>
            <w:rFonts w:ascii="arial" w:eastAsia="arial" w:hAnsi="arial" w:cs="arial"/>
            <w:b w:val="0"/>
            <w:i/>
            <w:strike w:val="0"/>
            <w:noProof w:val="0"/>
            <w:color w:val="0077CC"/>
            <w:position w:val="0"/>
            <w:sz w:val="20"/>
            <w:u w:val="single"/>
            <w:vertAlign w:val="baseline"/>
          </w:rPr>
          <w:t>Montana Code Annotated § 33-22-706</w:t>
        </w:r>
      </w:hyperlink>
      <w:r>
        <w:rPr>
          <w:rFonts w:ascii="arial" w:eastAsia="arial" w:hAnsi="arial" w:cs="arial"/>
          <w:b w:val="0"/>
          <w:i w:val="0"/>
          <w:strike w:val="0"/>
          <w:noProof w:val="0"/>
          <w:color w:val="000000"/>
          <w:position w:val="0"/>
          <w:sz w:val="20"/>
          <w:u w:val="none"/>
          <w:vertAlign w:val="baseline"/>
        </w:rPr>
        <w:t>. The Court granted summary judgment to Sand-Smith, concluding the plan's mental illness provision was void "because it conflict[ed] with Montana's mental health parity law." Doc. 47 at 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for contempt</w:t>
      </w:r>
    </w:p>
    <w:p>
      <w:pPr>
        <w:keepNext w:val="0"/>
        <w:widowControl w:val="0"/>
        <w:spacing w:before="240" w:after="0" w:line="260" w:lineRule="atLeast"/>
        <w:ind w:left="0" w:right="0" w:firstLine="0"/>
        <w:jc w:val="both"/>
      </w:pPr>
      <w:bookmarkStart w:id="11" w:name="Bookmark_para_4"/>
      <w:bookmarkEnd w:id="11"/>
      <w:bookmarkStart w:id="12" w:name="Bookmark_I5RDK0MN2HM6SM0020000400"/>
      <w:bookmarkEnd w:id="12"/>
      <w:r>
        <w:rPr>
          <w:rFonts w:ascii="arial" w:eastAsia="arial" w:hAnsi="arial" w:cs="arial"/>
          <w:b w:val="0"/>
          <w:i w:val="0"/>
          <w:strike w:val="0"/>
          <w:noProof w:val="0"/>
          <w:color w:val="000000"/>
          <w:position w:val="0"/>
          <w:sz w:val="20"/>
          <w:u w:val="none"/>
          <w:vertAlign w:val="baseline"/>
        </w:rPr>
        <w:t xml:space="preserve">A district court has wide discretion to enforce its lawful orders through civil contempt. </w:t>
      </w:r>
      <w:bookmarkStart w:id="13" w:name="Bookmark_I5RDK0MN2HM6SM0040000400"/>
      <w:bookmarkEnd w:id="13"/>
      <w:bookmarkStart w:id="14" w:name="Bookmark_I5RDK0MN2HM6SM0010000400"/>
      <w:bookmarkEnd w:id="14"/>
      <w:hyperlink r:id="rId12" w:history="1">
        <w:r>
          <w:rPr>
            <w:rFonts w:ascii="arial" w:eastAsia="arial" w:hAnsi="arial" w:cs="arial"/>
            <w:b w:val="0"/>
            <w:i/>
            <w:strike w:val="0"/>
            <w:noProof w:val="0"/>
            <w:color w:val="0077CC"/>
            <w:position w:val="0"/>
            <w:sz w:val="20"/>
            <w:u w:val="single"/>
            <w:vertAlign w:val="baseline"/>
          </w:rPr>
          <w:t xml:space="preserve">In re Dual-Deck Video Cassette Recorder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Litigation</w:t>
        </w:r>
      </w:hyperlink>
      <w:hyperlink r:id="rId12" w:history="1">
        <w:r>
          <w:rPr>
            <w:rFonts w:ascii="arial" w:eastAsia="arial" w:hAnsi="arial" w:cs="arial"/>
            <w:b w:val="0"/>
            <w:i/>
            <w:strike w:val="0"/>
            <w:noProof w:val="0"/>
            <w:color w:val="0077CC"/>
            <w:position w:val="0"/>
            <w:sz w:val="20"/>
            <w:u w:val="single"/>
            <w:vertAlign w:val="baseline"/>
          </w:rPr>
          <w:t>, 10 F.3d 693, 695 (9th Cir. 1993)</w:t>
        </w:r>
      </w:hyperlink>
      <w:r>
        <w:rPr>
          <w:rFonts w:ascii="arial" w:eastAsia="arial" w:hAnsi="arial" w:cs="arial"/>
          <w:b w:val="0"/>
          <w:i w:val="0"/>
          <w:strike w:val="0"/>
          <w:noProof w:val="0"/>
          <w:color w:val="000000"/>
          <w:position w:val="0"/>
          <w:sz w:val="20"/>
          <w:u w:val="none"/>
          <w:vertAlign w:val="baseline"/>
        </w:rPr>
        <w:t xml:space="preserve">. Civil contempt consists of a party's disobedience to a specific and definite court order by failure to take all reasonable steps within the party's power to comply. </w:t>
      </w:r>
      <w:bookmarkStart w:id="15" w:name="Bookmark_I5RDK0MN2HM6SM0040000400_2"/>
      <w:bookmarkEnd w:id="15"/>
      <w:bookmarkStart w:id="16" w:name="Bookmark_I5RDK0MN2N1R5V0010000400"/>
      <w:bookmarkEnd w:id="16"/>
      <w:bookmarkStart w:id="17" w:name="Bookmark_I5RDK0MN2HM6SM0030000400"/>
      <w:bookmarkEnd w:id="17"/>
      <w:hyperlink r:id="rId12" w:history="1">
        <w:r>
          <w:rPr>
            <w:rFonts w:ascii="arial" w:eastAsia="arial" w:hAnsi="arial" w:cs="arial"/>
            <w:b w:val="0"/>
            <w:i/>
            <w:strike w:val="0"/>
            <w:noProof w:val="0"/>
            <w:color w:val="0077CC"/>
            <w:position w:val="0"/>
            <w:sz w:val="20"/>
            <w:u w:val="single"/>
            <w:vertAlign w:val="baseline"/>
          </w:rPr>
          <w:t>In re Dual-Deck</w:t>
        </w:r>
      </w:hyperlink>
      <w:hyperlink r:id="rId12" w:history="1">
        <w:r>
          <w:rPr>
            <w:rFonts w:ascii="arial" w:eastAsia="arial" w:hAnsi="arial" w:cs="arial"/>
            <w:b w:val="0"/>
            <w:i/>
            <w:strike w:val="0"/>
            <w:noProof w:val="0"/>
            <w:color w:val="0077CC"/>
            <w:position w:val="0"/>
            <w:sz w:val="20"/>
            <w:u w:val="single"/>
            <w:vertAlign w:val="baseline"/>
          </w:rPr>
          <w:t>, 10 F.3d at 695</w:t>
        </w:r>
      </w:hyperlink>
      <w:r>
        <w:rPr>
          <w:rFonts w:ascii="arial" w:eastAsia="arial" w:hAnsi="arial" w:cs="arial"/>
          <w:b w:val="0"/>
          <w:i w:val="0"/>
          <w:strike w:val="0"/>
          <w:noProof w:val="0"/>
          <w:color w:val="000000"/>
          <w:position w:val="0"/>
          <w:sz w:val="20"/>
          <w:u w:val="none"/>
          <w:vertAlign w:val="baseline"/>
        </w:rPr>
        <w:t xml:space="preserve">. </w:t>
      </w:r>
      <w:bookmarkStart w:id="18" w:name="Bookmark_I5RDK0MN2N1R5V0010000400_2"/>
      <w:bookmarkEnd w:id="18"/>
      <w:r>
        <w:rPr>
          <w:rFonts w:ascii="arial" w:eastAsia="arial" w:hAnsi="arial" w:cs="arial"/>
          <w:b w:val="0"/>
          <w:i w:val="0"/>
          <w:strike w:val="0"/>
          <w:noProof w:val="0"/>
          <w:color w:val="000000"/>
          <w:position w:val="0"/>
          <w:sz w:val="20"/>
          <w:u w:val="none"/>
          <w:vertAlign w:val="baseline"/>
        </w:rPr>
        <w:t xml:space="preserve">A party should not be held in contempt if its actions are based on a good faith and reasonable interpretation of the court's order. </w:t>
      </w:r>
      <w:bookmarkStart w:id="19" w:name="Bookmark_I5RDK0MN2N1R5V0030000400"/>
      <w:bookmarkEnd w:id="19"/>
      <w:bookmarkStart w:id="20" w:name="Bookmark_I5RDK0MN2HM6SM0050000400"/>
      <w:bookmarkEnd w:id="20"/>
      <w:hyperlink r:id="rId12" w:history="1">
        <w:r>
          <w:rPr>
            <w:rFonts w:ascii="arial" w:eastAsia="arial" w:hAnsi="arial" w:cs="arial"/>
            <w:b w:val="0"/>
            <w:i/>
            <w:strike w:val="0"/>
            <w:noProof w:val="0"/>
            <w:color w:val="0077CC"/>
            <w:position w:val="0"/>
            <w:sz w:val="20"/>
            <w:u w:val="single"/>
            <w:vertAlign w:val="baseline"/>
          </w:rPr>
          <w:t>In re Dual-Deck</w:t>
        </w:r>
      </w:hyperlink>
      <w:hyperlink r:id="rId12" w:history="1">
        <w:r>
          <w:rPr>
            <w:rFonts w:ascii="arial" w:eastAsia="arial" w:hAnsi="arial" w:cs="arial"/>
            <w:b w:val="0"/>
            <w:i/>
            <w:strike w:val="0"/>
            <w:noProof w:val="0"/>
            <w:color w:val="0077CC"/>
            <w:position w:val="0"/>
            <w:sz w:val="20"/>
            <w:u w:val="single"/>
            <w:vertAlign w:val="baseline"/>
          </w:rPr>
          <w:t>, 10 F.3d at 695</w:t>
        </w:r>
      </w:hyperlink>
      <w:r>
        <w:rPr>
          <w:rFonts w:ascii="arial" w:eastAsia="arial" w:hAnsi="arial" w:cs="arial"/>
          <w:b w:val="0"/>
          <w:i w:val="0"/>
          <w:strike w:val="0"/>
          <w:noProof w:val="0"/>
          <w:color w:val="000000"/>
          <w:position w:val="0"/>
          <w:sz w:val="20"/>
          <w:u w:val="none"/>
          <w:vertAlign w:val="baseline"/>
        </w:rPr>
        <w:t xml:space="preserve">. </w:t>
      </w:r>
      <w:bookmarkStart w:id="21" w:name="Bookmark_I5RDK0MN2N1R5V0030000400_2"/>
      <w:bookmarkEnd w:id="21"/>
      <w:r>
        <w:rPr>
          <w:rFonts w:ascii="arial" w:eastAsia="arial" w:hAnsi="arial" w:cs="arial"/>
          <w:b w:val="0"/>
          <w:i w:val="0"/>
          <w:strike w:val="0"/>
          <w:noProof w:val="0"/>
          <w:color w:val="000000"/>
          <w:position w:val="0"/>
          <w:sz w:val="20"/>
          <w:u w:val="none"/>
          <w:vertAlign w:val="baseline"/>
        </w:rPr>
        <w:t xml:space="preserve">Civil contempt must be demonstrated with clear and convincing evidence. </w:t>
      </w:r>
      <w:bookmarkStart w:id="22" w:name="Bookmark_I5RDK0MN2N1R5V0020000400"/>
      <w:bookmarkEnd w:id="22"/>
      <w:hyperlink r:id="rId12" w:history="1">
        <w:r>
          <w:rPr>
            <w:rFonts w:ascii="arial" w:eastAsia="arial" w:hAnsi="arial" w:cs="arial"/>
            <w:b w:val="0"/>
            <w:i/>
            <w:strike w:val="0"/>
            <w:noProof w:val="0"/>
            <w:color w:val="0077CC"/>
            <w:position w:val="0"/>
            <w:sz w:val="20"/>
            <w:u w:val="single"/>
            <w:vertAlign w:val="baseline"/>
          </w:rPr>
          <w:t>In re Dual-Deck</w:t>
        </w:r>
      </w:hyperlink>
      <w:hyperlink r:id="rId12" w:history="1">
        <w:r>
          <w:rPr>
            <w:rFonts w:ascii="arial" w:eastAsia="arial" w:hAnsi="arial" w:cs="arial"/>
            <w:b w:val="0"/>
            <w:i/>
            <w:strike w:val="0"/>
            <w:noProof w:val="0"/>
            <w:color w:val="0077CC"/>
            <w:position w:val="0"/>
            <w:sz w:val="20"/>
            <w:u w:val="single"/>
            <w:vertAlign w:val="baseline"/>
          </w:rPr>
          <w:t>, 10 F.3d at 695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5"/>
      <w:bookmarkEnd w:id="23"/>
      <w:r>
        <w:rPr>
          <w:rFonts w:ascii="arial" w:eastAsia="arial" w:hAnsi="arial" w:cs="arial"/>
          <w:b w:val="0"/>
          <w:i w:val="0"/>
          <w:strike w:val="0"/>
          <w:noProof w:val="0"/>
          <w:color w:val="000000"/>
          <w:position w:val="0"/>
          <w:sz w:val="20"/>
          <w:u w:val="none"/>
          <w:vertAlign w:val="baseline"/>
        </w:rPr>
        <w:t>Sand-Smith argues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Liberty Life should be held in contempt because it refused to reinstate Sand-Smith's disability benefits after the entry of judgment. Liberty Life responds it did not refuse to reinstate Sand-Smith's disability benefits, but instead believed it was entitled to a stay of the judgment pending the outcome of an appeal.</w:t>
      </w:r>
    </w:p>
    <w:p>
      <w:pPr>
        <w:keepNext w:val="0"/>
        <w:widowControl w:val="0"/>
        <w:spacing w:before="200" w:after="0" w:line="260" w:lineRule="atLeast"/>
        <w:ind w:left="0" w:right="0" w:firstLine="0"/>
        <w:jc w:val="both"/>
      </w:pPr>
      <w:bookmarkStart w:id="24" w:name="Bookmark_para_6"/>
      <w:bookmarkEnd w:id="24"/>
      <w:r>
        <w:rPr>
          <w:rFonts w:ascii="arial" w:eastAsia="arial" w:hAnsi="arial" w:cs="arial"/>
          <w:b w:val="0"/>
          <w:i w:val="0"/>
          <w:strike w:val="0"/>
          <w:noProof w:val="0"/>
          <w:color w:val="000000"/>
          <w:position w:val="0"/>
          <w:sz w:val="20"/>
          <w:u w:val="none"/>
          <w:vertAlign w:val="baseline"/>
        </w:rPr>
        <w:t>The Court does not find by clear and convincing evidence that Liberty Life willfully violated the judgment. Liberty Life's belief that it was entitled to a stay, while incorrect (as discussed below), was reasonable. Although Liberty's Life belief should have caused it to file a motion to stay much sooner than it did, the Court is not convinced Liberty's Life delay amounts to a refusal to comply with the judgment. The motion for contempt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 to stay</w:t>
      </w:r>
    </w:p>
    <w:p>
      <w:pPr>
        <w:keepNext w:val="0"/>
        <w:widowControl w:val="0"/>
        <w:spacing w:before="240" w:after="0" w:line="260" w:lineRule="atLeast"/>
        <w:ind w:left="0" w:right="0" w:firstLine="0"/>
        <w:jc w:val="both"/>
      </w:pPr>
      <w:bookmarkStart w:id="25" w:name="Bookmark_para_7"/>
      <w:bookmarkEnd w:id="25"/>
      <w:bookmarkStart w:id="26" w:name="Bookmark_I5RDK0MN2N1R5V0050000400"/>
      <w:bookmarkEnd w:id="26"/>
      <w:r>
        <w:rPr>
          <w:rFonts w:ascii="arial" w:eastAsia="arial" w:hAnsi="arial" w:cs="arial"/>
          <w:b w:val="0"/>
          <w:i w:val="0"/>
          <w:strike w:val="0"/>
          <w:noProof w:val="0"/>
          <w:color w:val="000000"/>
          <w:position w:val="0"/>
          <w:sz w:val="20"/>
          <w:u w:val="none"/>
          <w:vertAlign w:val="baseline"/>
        </w:rPr>
        <w:t xml:space="preserve">A party may obtain a stay pending appeal by posting a supersedeas bond. </w:t>
      </w:r>
      <w:r>
        <w:rPr>
          <w:rFonts w:ascii="arial" w:eastAsia="arial" w:hAnsi="arial" w:cs="arial"/>
          <w:b w:val="0"/>
          <w:i/>
          <w:strike w:val="0"/>
          <w:noProof w:val="0"/>
          <w:color w:val="000000"/>
          <w:position w:val="0"/>
          <w:sz w:val="20"/>
          <w:u w:val="none"/>
          <w:vertAlign w:val="baseline"/>
        </w:rPr>
        <w:t>Fed. R. Civ. P. 62(d)</w:t>
      </w:r>
      <w:r>
        <w:rPr>
          <w:rFonts w:ascii="arial" w:eastAsia="arial" w:hAnsi="arial" w:cs="arial"/>
          <w:b w:val="0"/>
          <w:i w:val="0"/>
          <w:strike w:val="0"/>
          <w:noProof w:val="0"/>
          <w:color w:val="000000"/>
          <w:position w:val="0"/>
          <w:sz w:val="20"/>
          <w:u w:val="none"/>
          <w:vertAlign w:val="baseline"/>
        </w:rPr>
        <w:t xml:space="preserve">. A bond protects the prevailing plaintiff from the risk of a later uncollectible judgment and compensates her for delay in the entry of the final judgment. </w:t>
      </w:r>
      <w:bookmarkStart w:id="27" w:name="Bookmark_I5RDK0MP2SF7XM0020000400"/>
      <w:bookmarkEnd w:id="27"/>
      <w:bookmarkStart w:id="28" w:name="Bookmark_I5RDK0MN2N1R5V0040000400"/>
      <w:bookmarkEnd w:id="28"/>
      <w:hyperlink r:id="rId13" w:history="1">
        <w:r>
          <w:rPr>
            <w:rFonts w:ascii="arial" w:eastAsia="arial" w:hAnsi="arial" w:cs="arial"/>
            <w:b w:val="0"/>
            <w:i/>
            <w:strike w:val="0"/>
            <w:noProof w:val="0"/>
            <w:color w:val="0077CC"/>
            <w:position w:val="0"/>
            <w:sz w:val="20"/>
            <w:u w:val="single"/>
            <w:vertAlign w:val="baseline"/>
          </w:rPr>
          <w:t>N.L.R.B. v. Westphal</w:t>
        </w:r>
      </w:hyperlink>
      <w:hyperlink r:id="rId13" w:history="1">
        <w:r>
          <w:rPr>
            <w:rFonts w:ascii="arial" w:eastAsia="arial" w:hAnsi="arial" w:cs="arial"/>
            <w:b w:val="0"/>
            <w:i/>
            <w:strike w:val="0"/>
            <w:noProof w:val="0"/>
            <w:color w:val="0077CC"/>
            <w:position w:val="0"/>
            <w:sz w:val="20"/>
            <w:u w:val="single"/>
            <w:vertAlign w:val="baseline"/>
          </w:rPr>
          <w:t>, 859 F.2d 818, 819 (9th Cir. 1988)</w:t>
        </w:r>
      </w:hyperlink>
      <w:r>
        <w:rPr>
          <w:rFonts w:ascii="arial" w:eastAsia="arial" w:hAnsi="arial" w:cs="arial"/>
          <w:b w:val="0"/>
          <w:i w:val="0"/>
          <w:strike w:val="0"/>
          <w:noProof w:val="0"/>
          <w:color w:val="000000"/>
          <w:position w:val="0"/>
          <w:sz w:val="20"/>
          <w:u w:val="none"/>
          <w:vertAlign w:val="baseline"/>
        </w:rPr>
        <w:t xml:space="preserve">. </w:t>
      </w:r>
      <w:bookmarkStart w:id="29" w:name="Bookmark_I5RDK0MP2SF7XM0020000400_2"/>
      <w:bookmarkEnd w:id="29"/>
      <w:bookmarkStart w:id="30" w:name="Bookmark_I5RDK0MP2SF7XM0040000400"/>
      <w:bookmarkEnd w:id="30"/>
      <w:r>
        <w:rPr>
          <w:rFonts w:ascii="arial" w:eastAsia="arial" w:hAnsi="arial" w:cs="arial"/>
          <w:b w:val="0"/>
          <w:i w:val="0"/>
          <w:strike w:val="0"/>
          <w:noProof w:val="0"/>
          <w:color w:val="000000"/>
          <w:position w:val="0"/>
          <w:sz w:val="20"/>
          <w:u w:val="none"/>
          <w:vertAlign w:val="baseline"/>
        </w:rPr>
        <w:t xml:space="preserve">However, a stay by bond has little practical effect when the judgment is not for a sum certain. </w:t>
      </w:r>
      <w:bookmarkStart w:id="31" w:name="Bookmark_I5RDK0MP2SF7XM0010000400"/>
      <w:bookmarkEnd w:id="31"/>
      <w:hyperlink r:id="rId14" w:history="1">
        <w:r>
          <w:rPr>
            <w:rFonts w:ascii="arial" w:eastAsia="arial" w:hAnsi="arial" w:cs="arial"/>
            <w:b w:val="0"/>
            <w:i/>
            <w:strike w:val="0"/>
            <w:noProof w:val="0"/>
            <w:color w:val="0077CC"/>
            <w:position w:val="0"/>
            <w:sz w:val="20"/>
            <w:u w:val="single"/>
            <w:vertAlign w:val="baseline"/>
          </w:rPr>
          <w:t>Hebert v. Exxon Corp.</w:t>
        </w:r>
      </w:hyperlink>
      <w:hyperlink r:id="rId14" w:history="1">
        <w:r>
          <w:rPr>
            <w:rFonts w:ascii="arial" w:eastAsia="arial" w:hAnsi="arial" w:cs="arial"/>
            <w:b w:val="0"/>
            <w:i/>
            <w:strike w:val="0"/>
            <w:noProof w:val="0"/>
            <w:color w:val="0077CC"/>
            <w:position w:val="0"/>
            <w:sz w:val="20"/>
            <w:u w:val="single"/>
            <w:vertAlign w:val="baseline"/>
          </w:rPr>
          <w:t>, 953 F.2d 936, 938 (5th Cir. 1992)</w:t>
        </w:r>
      </w:hyperlink>
      <w:r>
        <w:rPr>
          <w:rFonts w:ascii="arial" w:eastAsia="arial" w:hAnsi="arial" w:cs="arial"/>
          <w:b w:val="0"/>
          <w:i w:val="0"/>
          <w:strike w:val="0"/>
          <w:noProof w:val="0"/>
          <w:color w:val="000000"/>
          <w:position w:val="0"/>
          <w:sz w:val="20"/>
          <w:u w:val="none"/>
          <w:vertAlign w:val="baseline"/>
        </w:rPr>
        <w:t xml:space="preserve">. </w:t>
      </w:r>
      <w:bookmarkStart w:id="32" w:name="Bookmark_I5RDK0MP2SF7XM0040000400_2"/>
      <w:bookmarkEnd w:id="32"/>
      <w:bookmarkStart w:id="33" w:name="Bookmark_I2BNY1GK3JJ000KD0P000026"/>
      <w:bookmarkEnd w:id="33"/>
      <w:bookmarkStart w:id="34" w:name="Bookmark_I5RDK0MP2N1R5W0040000400"/>
      <w:bookmarkEnd w:id="34"/>
      <w:r>
        <w:rPr>
          <w:rFonts w:ascii="arial" w:eastAsia="arial" w:hAnsi="arial" w:cs="arial"/>
          <w:b w:val="0"/>
          <w:i w:val="0"/>
          <w:strike w:val="0"/>
          <w:noProof w:val="0"/>
          <w:color w:val="000000"/>
          <w:position w:val="0"/>
          <w:sz w:val="20"/>
          <w:u w:val="none"/>
          <w:vertAlign w:val="baseline"/>
        </w:rPr>
        <w:t>The circuit courts caution the right to a stay by bond should be limited to "money judgments."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t>
      </w:r>
      <w:bookmarkStart w:id="35" w:name="Bookmark_I5RDK0MP2SF7XM0030000400"/>
      <w:bookmarkEnd w:id="35"/>
      <w:hyperlink r:id="rId13" w:history="1">
        <w:r>
          <w:rPr>
            <w:rFonts w:ascii="arial" w:eastAsia="arial" w:hAnsi="arial" w:cs="arial"/>
            <w:b w:val="0"/>
            <w:i/>
            <w:strike w:val="0"/>
            <w:noProof w:val="0"/>
            <w:color w:val="0077CC"/>
            <w:position w:val="0"/>
            <w:sz w:val="20"/>
            <w:u w:val="single"/>
            <w:vertAlign w:val="baseline"/>
          </w:rPr>
          <w:t>Westphal</w:t>
        </w:r>
      </w:hyperlink>
      <w:hyperlink r:id="rId13" w:history="1">
        <w:r>
          <w:rPr>
            <w:rFonts w:ascii="arial" w:eastAsia="arial" w:hAnsi="arial" w:cs="arial"/>
            <w:b w:val="0"/>
            <w:i/>
            <w:strike w:val="0"/>
            <w:noProof w:val="0"/>
            <w:color w:val="0077CC"/>
            <w:position w:val="0"/>
            <w:sz w:val="20"/>
            <w:u w:val="single"/>
            <w:vertAlign w:val="baseline"/>
          </w:rPr>
          <w:t>, 859 F.2d at 819</w:t>
        </w:r>
      </w:hyperlink>
      <w:r>
        <w:rPr>
          <w:rFonts w:ascii="arial" w:eastAsia="arial" w:hAnsi="arial" w:cs="arial"/>
          <w:b w:val="0"/>
          <w:i w:val="0"/>
          <w:strike w:val="0"/>
          <w:noProof w:val="0"/>
          <w:color w:val="000000"/>
          <w:position w:val="0"/>
          <w:sz w:val="20"/>
          <w:u w:val="none"/>
          <w:vertAlign w:val="baseline"/>
        </w:rPr>
        <w:t xml:space="preserve">; </w:t>
      </w:r>
      <w:bookmarkStart w:id="36" w:name="Bookmark_I5RDK0MP2SF7XM0050000400"/>
      <w:bookmarkEnd w:id="36"/>
      <w:hyperlink r:id="rId14" w:history="1">
        <w:r>
          <w:rPr>
            <w:rFonts w:ascii="arial" w:eastAsia="arial" w:hAnsi="arial" w:cs="arial"/>
            <w:b w:val="0"/>
            <w:i/>
            <w:strike w:val="0"/>
            <w:noProof w:val="0"/>
            <w:color w:val="0077CC"/>
            <w:position w:val="0"/>
            <w:sz w:val="20"/>
            <w:u w:val="single"/>
            <w:vertAlign w:val="baseline"/>
          </w:rPr>
          <w:t>Hebert</w:t>
        </w:r>
      </w:hyperlink>
      <w:hyperlink r:id="rId14" w:history="1">
        <w:r>
          <w:rPr>
            <w:rFonts w:ascii="arial" w:eastAsia="arial" w:hAnsi="arial" w:cs="arial"/>
            <w:b w:val="0"/>
            <w:i/>
            <w:strike w:val="0"/>
            <w:noProof w:val="0"/>
            <w:color w:val="0077CC"/>
            <w:position w:val="0"/>
            <w:sz w:val="20"/>
            <w:u w:val="single"/>
            <w:vertAlign w:val="baseline"/>
          </w:rPr>
          <w:t>, 953 F.2d at 938</w:t>
        </w:r>
      </w:hyperlink>
      <w:r>
        <w:rPr>
          <w:rFonts w:ascii="arial" w:eastAsia="arial" w:hAnsi="arial" w:cs="arial"/>
          <w:b w:val="0"/>
          <w:i w:val="0"/>
          <w:strike w:val="0"/>
          <w:noProof w:val="0"/>
          <w:color w:val="000000"/>
          <w:position w:val="0"/>
          <w:sz w:val="20"/>
          <w:u w:val="none"/>
          <w:vertAlign w:val="baseline"/>
        </w:rPr>
        <w:t xml:space="preserve">; </w:t>
      </w:r>
      <w:bookmarkStart w:id="37" w:name="Bookmark_I5RDK0MP2D6MSX0020000400"/>
      <w:bookmarkEnd w:id="37"/>
      <w:hyperlink r:id="rId15" w:history="1">
        <w:r>
          <w:rPr>
            <w:rFonts w:ascii="arial" w:eastAsia="arial" w:hAnsi="arial" w:cs="arial"/>
            <w:b w:val="0"/>
            <w:i/>
            <w:strike w:val="0"/>
            <w:noProof w:val="0"/>
            <w:color w:val="0077CC"/>
            <w:position w:val="0"/>
            <w:sz w:val="20"/>
            <w:u w:val="single"/>
            <w:vertAlign w:val="baseline"/>
          </w:rPr>
          <w:t>Robbins v. Pepsi-Cola</w:t>
        </w:r>
      </w:hyperlink>
      <w:hyperlink r:id="rId15" w:history="1">
        <w:r>
          <w:rPr>
            <w:rFonts w:ascii="arial" w:eastAsia="arial" w:hAnsi="arial" w:cs="arial"/>
            <w:b w:val="0"/>
            <w:i/>
            <w:strike w:val="0"/>
            <w:noProof w:val="0"/>
            <w:color w:val="0077CC"/>
            <w:position w:val="0"/>
            <w:sz w:val="20"/>
            <w:u w:val="single"/>
            <w:vertAlign w:val="baseline"/>
          </w:rPr>
          <w:t>, 800 F.2d 641, 643-644 (7th Cir. 1986)</w:t>
        </w:r>
      </w:hyperlink>
      <w:r>
        <w:rPr>
          <w:rFonts w:ascii="arial" w:eastAsia="arial" w:hAnsi="arial" w:cs="arial"/>
          <w:b w:val="0"/>
          <w:i w:val="0"/>
          <w:strike w:val="0"/>
          <w:noProof w:val="0"/>
          <w:color w:val="000000"/>
          <w:position w:val="0"/>
          <w:sz w:val="20"/>
          <w:u w:val="none"/>
          <w:vertAlign w:val="baseline"/>
        </w:rPr>
        <w:t xml:space="preserve">; </w:t>
      </w:r>
      <w:bookmarkStart w:id="38" w:name="Bookmark_I5RDK0MP2D6MSX0040000400"/>
      <w:bookmarkEnd w:id="38"/>
      <w:hyperlink r:id="rId16" w:history="1">
        <w:r>
          <w:rPr>
            <w:rFonts w:ascii="arial" w:eastAsia="arial" w:hAnsi="arial" w:cs="arial"/>
            <w:b w:val="0"/>
            <w:i/>
            <w:strike w:val="0"/>
            <w:noProof w:val="0"/>
            <w:color w:val="0077CC"/>
            <w:position w:val="0"/>
            <w:sz w:val="20"/>
            <w:u w:val="single"/>
            <w:vertAlign w:val="baseline"/>
          </w:rPr>
          <w:t>Donovan v. Fall River Foundry Co.</w:t>
        </w:r>
      </w:hyperlink>
      <w:hyperlink r:id="rId16" w:history="1">
        <w:r>
          <w:rPr>
            <w:rFonts w:ascii="arial" w:eastAsia="arial" w:hAnsi="arial" w:cs="arial"/>
            <w:b w:val="0"/>
            <w:i/>
            <w:strike w:val="0"/>
            <w:noProof w:val="0"/>
            <w:color w:val="0077CC"/>
            <w:position w:val="0"/>
            <w:sz w:val="20"/>
            <w:u w:val="single"/>
            <w:vertAlign w:val="baseline"/>
          </w:rPr>
          <w:t>, 696 F.2d 524, 526 (7th Cir. 1982)</w:t>
        </w:r>
      </w:hyperlink>
      <w:r>
        <w:rPr>
          <w:rFonts w:ascii="arial" w:eastAsia="arial" w:hAnsi="arial" w:cs="arial"/>
          <w:b w:val="0"/>
          <w:i w:val="0"/>
          <w:strike w:val="0"/>
          <w:noProof w:val="0"/>
          <w:color w:val="000000"/>
          <w:position w:val="0"/>
          <w:sz w:val="20"/>
          <w:u w:val="none"/>
          <w:vertAlign w:val="baseline"/>
        </w:rPr>
        <w:t xml:space="preserve">; </w:t>
      </w:r>
      <w:bookmarkStart w:id="39" w:name="Bookmark_I5RDK0MP2N1R5W0010000400"/>
      <w:bookmarkEnd w:id="39"/>
      <w:hyperlink r:id="rId17" w:history="1">
        <w:r>
          <w:rPr>
            <w:rFonts w:ascii="arial" w:eastAsia="arial" w:hAnsi="arial" w:cs="arial"/>
            <w:b w:val="0"/>
            <w:i/>
            <w:strike w:val="0"/>
            <w:noProof w:val="0"/>
            <w:color w:val="0077CC"/>
            <w:position w:val="0"/>
            <w:sz w:val="20"/>
            <w:u w:val="single"/>
            <w:vertAlign w:val="baseline"/>
          </w:rPr>
          <w:t>Federal Trade Com. v. TRW, Inc.</w:t>
        </w:r>
      </w:hyperlink>
      <w:hyperlink r:id="rId17" w:history="1">
        <w:r>
          <w:rPr>
            <w:rFonts w:ascii="arial" w:eastAsia="arial" w:hAnsi="arial" w:cs="arial"/>
            <w:b w:val="0"/>
            <w:i/>
            <w:strike w:val="0"/>
            <w:noProof w:val="0"/>
            <w:color w:val="0077CC"/>
            <w:position w:val="0"/>
            <w:sz w:val="20"/>
            <w:u w:val="single"/>
            <w:vertAlign w:val="baseline"/>
          </w:rPr>
          <w:t>, 628 F.2d 207, 210 n. 3, 202 U.S. App. D.C. 207 (D.C. Cir. 1980)</w:t>
        </w:r>
      </w:hyperlink>
      <w:r>
        <w:rPr>
          <w:rFonts w:ascii="arial" w:eastAsia="arial" w:hAnsi="arial" w:cs="arial"/>
          <w:b w:val="0"/>
          <w:i w:val="0"/>
          <w:strike w:val="0"/>
          <w:noProof w:val="0"/>
          <w:color w:val="000000"/>
          <w:position w:val="0"/>
          <w:sz w:val="20"/>
          <w:u w:val="none"/>
          <w:vertAlign w:val="baseline"/>
        </w:rPr>
        <w:t xml:space="preserve">. </w:t>
      </w:r>
      <w:bookmarkStart w:id="40" w:name="Bookmark_I5RDK0MP2N1R5W0040000400_2"/>
      <w:bookmarkEnd w:id="40"/>
      <w:r>
        <w:rPr>
          <w:rFonts w:ascii="arial" w:eastAsia="arial" w:hAnsi="arial" w:cs="arial"/>
          <w:b w:val="0"/>
          <w:i w:val="0"/>
          <w:strike w:val="0"/>
          <w:noProof w:val="0"/>
          <w:color w:val="000000"/>
          <w:position w:val="0"/>
          <w:sz w:val="20"/>
          <w:u w:val="none"/>
          <w:vertAlign w:val="baseline"/>
        </w:rPr>
        <w:t xml:space="preserve">A "money judgment" consists of two elements: (1) an identification of the parties for and against whom judgment is being entered, and (2) a definite and certain designation of the amount which plaintiff is owed by defendant. </w:t>
      </w:r>
      <w:bookmarkStart w:id="41" w:name="Bookmark_I5RDK0MP28T4WS0030000400"/>
      <w:bookmarkEnd w:id="41"/>
      <w:bookmarkStart w:id="42" w:name="Bookmark_I5RDK0MP2N1R5W0030000400"/>
      <w:bookmarkEnd w:id="42"/>
      <w:hyperlink r:id="rId18" w:history="1">
        <w:r>
          <w:rPr>
            <w:rFonts w:ascii="arial" w:eastAsia="arial" w:hAnsi="arial" w:cs="arial"/>
            <w:b w:val="0"/>
            <w:i/>
            <w:strike w:val="0"/>
            <w:noProof w:val="0"/>
            <w:color w:val="0077CC"/>
            <w:position w:val="0"/>
            <w:sz w:val="20"/>
            <w:u w:val="single"/>
            <w:vertAlign w:val="baseline"/>
          </w:rPr>
          <w:t>Ministry of Defense and Support for the Armed Forces of the Islamic Republic of Iran v. Cubic Defense System, Inc.</w:t>
        </w:r>
      </w:hyperlink>
      <w:hyperlink r:id="rId18" w:history="1">
        <w:r>
          <w:rPr>
            <w:rFonts w:ascii="arial" w:eastAsia="arial" w:hAnsi="arial" w:cs="arial"/>
            <w:b w:val="0"/>
            <w:i/>
            <w:strike w:val="0"/>
            <w:noProof w:val="0"/>
            <w:color w:val="0077CC"/>
            <w:position w:val="0"/>
            <w:sz w:val="20"/>
            <w:u w:val="single"/>
            <w:vertAlign w:val="baseline"/>
          </w:rPr>
          <w:t>, 665 F.3d 1091, 1101 (9th Cir. 2011)</w:t>
        </w:r>
      </w:hyperlink>
      <w:r>
        <w:rPr>
          <w:rFonts w:ascii="arial" w:eastAsia="arial" w:hAnsi="arial" w:cs="arial"/>
          <w:b w:val="0"/>
          <w:i w:val="0"/>
          <w:strike w:val="0"/>
          <w:noProof w:val="0"/>
          <w:color w:val="000000"/>
          <w:position w:val="0"/>
          <w:sz w:val="20"/>
          <w:u w:val="none"/>
          <w:vertAlign w:val="baseline"/>
        </w:rPr>
        <w:t xml:space="preserve"> (interpreting </w:t>
      </w:r>
      <w:hyperlink r:id="rId19" w:history="1">
        <w:r>
          <w:rPr>
            <w:rFonts w:ascii="arial" w:eastAsia="arial" w:hAnsi="arial" w:cs="arial"/>
            <w:b w:val="0"/>
            <w:i/>
            <w:strike w:val="0"/>
            <w:noProof w:val="0"/>
            <w:color w:val="0077CC"/>
            <w:position w:val="0"/>
            <w:sz w:val="20"/>
            <w:u w:val="single"/>
            <w:vertAlign w:val="baseline"/>
          </w:rPr>
          <w:t>28 U.S.C. § 1961(a)</w:t>
        </w:r>
      </w:hyperlink>
      <w:r>
        <w:rPr>
          <w:rFonts w:ascii="arial" w:eastAsia="arial" w:hAnsi="arial" w:cs="arial"/>
          <w:b w:val="0"/>
          <w:i w:val="0"/>
          <w:strike w:val="0"/>
          <w:noProof w:val="0"/>
          <w:color w:val="000000"/>
          <w:position w:val="0"/>
          <w:sz w:val="20"/>
          <w:u w:val="none"/>
          <w:vertAlign w:val="baseline"/>
        </w:rPr>
        <w:t xml:space="preserve">) (citing </w:t>
      </w:r>
      <w:bookmarkStart w:id="43" w:name="Bookmark_I5RDK0MP2N1R5W0050000400"/>
      <w:bookmarkEnd w:id="43"/>
      <w:hyperlink r:id="rId20" w:history="1">
        <w:r>
          <w:rPr>
            <w:rFonts w:ascii="arial" w:eastAsia="arial" w:hAnsi="arial" w:cs="arial"/>
            <w:b w:val="0"/>
            <w:i/>
            <w:strike w:val="0"/>
            <w:noProof w:val="0"/>
            <w:color w:val="0077CC"/>
            <w:position w:val="0"/>
            <w:sz w:val="20"/>
            <w:u w:val="single"/>
            <w:vertAlign w:val="baseline"/>
          </w:rPr>
          <w:t>Penn Terra Ltd v. Dep't of Envtl. Res.</w:t>
        </w:r>
      </w:hyperlink>
      <w:hyperlink r:id="rId20" w:history="1">
        <w:r>
          <w:rPr>
            <w:rFonts w:ascii="arial" w:eastAsia="arial" w:hAnsi="arial" w:cs="arial"/>
            <w:b w:val="0"/>
            <w:i/>
            <w:strike w:val="0"/>
            <w:noProof w:val="0"/>
            <w:color w:val="0077CC"/>
            <w:position w:val="0"/>
            <w:sz w:val="20"/>
            <w:u w:val="single"/>
            <w:vertAlign w:val="baseline"/>
          </w:rPr>
          <w:t>, 733 F.2d 267, 275 (3rd Cir. 1984))</w:t>
        </w:r>
      </w:hyperlink>
      <w:r>
        <w:rPr>
          <w:rFonts w:ascii="arial" w:eastAsia="arial" w:hAnsi="arial" w:cs="arial"/>
          <w:b w:val="0"/>
          <w:i w:val="0"/>
          <w:strike w:val="0"/>
          <w:noProof w:val="0"/>
          <w:color w:val="000000"/>
          <w:position w:val="0"/>
          <w:sz w:val="20"/>
          <w:u w:val="none"/>
          <w:vertAlign w:val="baseline"/>
        </w:rPr>
        <w:t xml:space="preserve">. </w:t>
      </w:r>
      <w:bookmarkStart w:id="44" w:name="Bookmark_I5RDK0MP28T4WS0030000400_2"/>
      <w:bookmarkEnd w:id="44"/>
      <w:r>
        <w:rPr>
          <w:rFonts w:ascii="arial" w:eastAsia="arial" w:hAnsi="arial" w:cs="arial"/>
          <w:b w:val="0"/>
          <w:i w:val="0"/>
          <w:strike w:val="0"/>
          <w:noProof w:val="0"/>
          <w:color w:val="000000"/>
          <w:position w:val="0"/>
          <w:sz w:val="20"/>
          <w:u w:val="none"/>
          <w:vertAlign w:val="baseline"/>
        </w:rPr>
        <w:t xml:space="preserve">"Money judgments" entitle the plaintiff to collect interest if the judgment is affirmed on appeal. </w:t>
      </w:r>
      <w:bookmarkStart w:id="45" w:name="Bookmark_I5RDK0MP28T4WS0020000400"/>
      <w:bookmarkEnd w:id="45"/>
      <w:hyperlink r:id="rId18" w:history="1">
        <w:r>
          <w:rPr>
            <w:rFonts w:ascii="arial" w:eastAsia="arial" w:hAnsi="arial" w:cs="arial"/>
            <w:b w:val="0"/>
            <w:i/>
            <w:strike w:val="0"/>
            <w:noProof w:val="0"/>
            <w:color w:val="0077CC"/>
            <w:position w:val="0"/>
            <w:sz w:val="20"/>
            <w:u w:val="single"/>
            <w:vertAlign w:val="baseline"/>
          </w:rPr>
          <w:t>Ministry of Defense</w:t>
        </w:r>
      </w:hyperlink>
      <w:hyperlink r:id="rId18" w:history="1">
        <w:r>
          <w:rPr>
            <w:rFonts w:ascii="arial" w:eastAsia="arial" w:hAnsi="arial" w:cs="arial"/>
            <w:b w:val="0"/>
            <w:i/>
            <w:strike w:val="0"/>
            <w:noProof w:val="0"/>
            <w:color w:val="0077CC"/>
            <w:position w:val="0"/>
            <w:sz w:val="20"/>
            <w:u w:val="single"/>
            <w:vertAlign w:val="baseline"/>
          </w:rPr>
          <w:t>, 665 F.3d at 1102</w:t>
        </w:r>
      </w:hyperlink>
      <w:r>
        <w:rPr>
          <w:rFonts w:ascii="arial" w:eastAsia="arial" w:hAnsi="arial" w:cs="arial"/>
          <w:b w:val="0"/>
          <w:i w:val="0"/>
          <w:strike w:val="0"/>
          <w:noProof w:val="0"/>
          <w:color w:val="000000"/>
          <w:position w:val="0"/>
          <w:sz w:val="20"/>
          <w:u w:val="none"/>
          <w:vertAlign w:val="baseline"/>
        </w:rPr>
        <w:t xml:space="preserve"> (citing </w:t>
      </w:r>
      <w:hyperlink r:id="rId19" w:history="1">
        <w:r>
          <w:rPr>
            <w:rFonts w:ascii="arial" w:eastAsia="arial" w:hAnsi="arial" w:cs="arial"/>
            <w:b w:val="0"/>
            <w:i/>
            <w:strike w:val="0"/>
            <w:noProof w:val="0"/>
            <w:color w:val="0077CC"/>
            <w:position w:val="0"/>
            <w:sz w:val="20"/>
            <w:u w:val="single"/>
            <w:vertAlign w:val="baseline"/>
          </w:rPr>
          <w:t>28 U.S.C. § 1961(a)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8"/>
      <w:bookmarkEnd w:id="46"/>
      <w:r>
        <w:rPr>
          <w:rFonts w:ascii="arial" w:eastAsia="arial" w:hAnsi="arial" w:cs="arial"/>
          <w:b w:val="0"/>
          <w:i w:val="0"/>
          <w:strike w:val="0"/>
          <w:noProof w:val="0"/>
          <w:color w:val="000000"/>
          <w:position w:val="0"/>
          <w:sz w:val="20"/>
          <w:u w:val="none"/>
          <w:vertAlign w:val="baseline"/>
        </w:rPr>
        <w:t>For purposes of this issue, the judgment consists of two portions: the award of attorney fees and costs and the summary judgment order. Sand-Smith agrees the award of attorney fees and costs is a money judgment and concedes Liberty Life is entitled to a stay of that award upon posting bond.</w:t>
      </w:r>
    </w:p>
    <w:p>
      <w:pPr>
        <w:keepNext w:val="0"/>
        <w:widowControl w:val="0"/>
        <w:spacing w:before="200" w:after="0" w:line="260" w:lineRule="atLeast"/>
        <w:ind w:left="0" w:right="0" w:firstLine="0"/>
        <w:jc w:val="both"/>
      </w:pPr>
      <w:bookmarkStart w:id="47" w:name="Bookmark_para_9"/>
      <w:bookmarkEnd w:id="47"/>
      <w:r>
        <w:rPr>
          <w:rFonts w:ascii="arial" w:eastAsia="arial" w:hAnsi="arial" w:cs="arial"/>
          <w:b w:val="0"/>
          <w:i w:val="0"/>
          <w:strike w:val="0"/>
          <w:noProof w:val="0"/>
          <w:color w:val="000000"/>
          <w:position w:val="0"/>
          <w:sz w:val="20"/>
          <w:u w:val="none"/>
          <w:vertAlign w:val="baseline"/>
        </w:rPr>
        <w:t>The summary judgment order, however, is not a money judgment. First, the summary judgment order does not state, or even refer, to any specified sum of money owed by Liberty Life to Sand-Smith. The issue decided on summary judgment—and the basis for the entire lawsuit—was whether Montana's mental health parity law voided the mental illness limitation contained in the policy.</w:t>
      </w:r>
    </w:p>
    <w:p>
      <w:pPr>
        <w:keepNext w:val="0"/>
        <w:widowControl w:val="0"/>
        <w:spacing w:before="240" w:after="0" w:line="260" w:lineRule="atLeast"/>
        <w:ind w:left="0" w:right="0" w:firstLine="0"/>
        <w:jc w:val="both"/>
      </w:pPr>
      <w:bookmarkStart w:id="48" w:name="Bookmark_para_10"/>
      <w:bookmarkEnd w:id="48"/>
      <w:bookmarkStart w:id="49" w:name="Bookmark_I5RDK0MP28T4WS0050000400"/>
      <w:bookmarkEnd w:id="49"/>
      <w:r>
        <w:rPr>
          <w:rFonts w:ascii="arial" w:eastAsia="arial" w:hAnsi="arial" w:cs="arial"/>
          <w:b w:val="0"/>
          <w:i w:val="0"/>
          <w:strike w:val="0"/>
          <w:noProof w:val="0"/>
          <w:color w:val="000000"/>
          <w:position w:val="0"/>
          <w:sz w:val="20"/>
          <w:u w:val="none"/>
          <w:vertAlign w:val="baseline"/>
        </w:rPr>
        <w:t>Second, although Liberty Life owes and will continue to owe Sand-Smith money due, in part, to the summary judgment order, the amount is not definite and certain.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As stated in the summary judgment order, Sand-Smith's disability benefits are welfare benefits, which an employer is "generally free under </w:t>
      </w:r>
      <w:hyperlink r:id="rId21" w:history="1">
        <w:r>
          <w:rPr>
            <w:rFonts w:ascii="arial" w:eastAsia="arial" w:hAnsi="arial" w:cs="arial"/>
            <w:b w:val="0"/>
            <w:i/>
            <w:strike w:val="0"/>
            <w:noProof w:val="0"/>
            <w:color w:val="0077CC"/>
            <w:position w:val="0"/>
            <w:sz w:val="20"/>
            <w:u w:val="single"/>
            <w:vertAlign w:val="baseline"/>
          </w:rPr>
          <w:t>ERISA</w:t>
        </w:r>
      </w:hyperlink>
      <w:r>
        <w:rPr>
          <w:rFonts w:ascii="arial" w:eastAsia="arial" w:hAnsi="arial" w:cs="arial"/>
          <w:b w:val="0"/>
          <w:i w:val="0"/>
          <w:strike w:val="0"/>
          <w:noProof w:val="0"/>
          <w:color w:val="000000"/>
          <w:position w:val="0"/>
          <w:sz w:val="20"/>
          <w:u w:val="none"/>
          <w:vertAlign w:val="baseline"/>
        </w:rPr>
        <w:t xml:space="preserve">, for any reason at any time, to adopt, modify, or terminate." Doc. 47 at 6 (citing </w:t>
      </w:r>
      <w:bookmarkStart w:id="50" w:name="Bookmark_I5RDK0MP28T4WS0040000400"/>
      <w:bookmarkEnd w:id="50"/>
      <w:r>
        <w:rPr>
          <w:rFonts w:ascii="arial" w:eastAsia="arial" w:hAnsi="arial" w:cs="arial"/>
          <w:b w:val="0"/>
          <w:i/>
          <w:strike w:val="0"/>
          <w:noProof w:val="0"/>
          <w:color w:val="000000"/>
          <w:position w:val="0"/>
          <w:sz w:val="20"/>
          <w:u w:val="none"/>
          <w:vertAlign w:val="baseline"/>
        </w:rPr>
        <w:t>Alday v. Raytheon Co.</w:t>
      </w:r>
      <w:r>
        <w:rPr>
          <w:rFonts w:ascii="arial" w:eastAsia="arial" w:hAnsi="arial" w:cs="arial"/>
          <w:b w:val="0"/>
          <w:i/>
          <w:strike w:val="0"/>
          <w:noProof w:val="0"/>
          <w:color w:val="000000"/>
          <w:position w:val="0"/>
          <w:sz w:val="20"/>
          <w:u w:val="none"/>
          <w:vertAlign w:val="baseline"/>
        </w:rPr>
        <w:t>, 693 F.3d 772, 782 (9th Cir. 2012))</w:t>
      </w:r>
      <w:r>
        <w:rPr>
          <w:rFonts w:ascii="arial" w:eastAsia="arial" w:hAnsi="arial" w:cs="arial"/>
          <w:b w:val="0"/>
          <w:i w:val="0"/>
          <w:strike w:val="0"/>
          <w:noProof w:val="0"/>
          <w:color w:val="000000"/>
          <w:position w:val="0"/>
          <w:sz w:val="20"/>
          <w:u w:val="none"/>
          <w:vertAlign w:val="baseline"/>
        </w:rPr>
        <w:t xml:space="preserve">. The Montana legislature repealed and replaced the mental health parity law, upon which this case turned, effective January 1, 2018. </w:t>
      </w:r>
      <w:hyperlink r:id="rId22" w:history="1">
        <w:r>
          <w:rPr>
            <w:rFonts w:ascii="arial" w:eastAsia="arial" w:hAnsi="arial" w:cs="arial"/>
            <w:b w:val="0"/>
            <w:i/>
            <w:strike w:val="0"/>
            <w:noProof w:val="0"/>
            <w:color w:val="0077CC"/>
            <w:position w:val="0"/>
            <w:sz w:val="20"/>
            <w:u w:val="single"/>
            <w:vertAlign w:val="baseline"/>
          </w:rPr>
          <w:t>2017 Mont. Laws Ch. 245 (H.B. 142)</w:t>
        </w:r>
      </w:hyperlink>
      <w:r>
        <w:rPr>
          <w:rFonts w:ascii="arial" w:eastAsia="arial" w:hAnsi="arial" w:cs="arial"/>
          <w:b w:val="0"/>
          <w:i w:val="0"/>
          <w:strike w:val="0"/>
          <w:noProof w:val="0"/>
          <w:color w:val="000000"/>
          <w:position w:val="0"/>
          <w:sz w:val="20"/>
          <w:u w:val="none"/>
          <w:vertAlign w:val="baseline"/>
        </w:rPr>
        <w:t xml:space="preserve">. </w:t>
      </w:r>
      <w:bookmarkStart w:id="51" w:name="Bookmark_I5RDK0MP2D6MSY0020000400"/>
      <w:bookmarkEnd w:id="51"/>
      <w:r>
        <w:rPr>
          <w:rFonts w:ascii="arial" w:eastAsia="arial" w:hAnsi="arial" w:cs="arial"/>
          <w:b w:val="0"/>
          <w:i w:val="0"/>
          <w:strike w:val="0"/>
          <w:noProof w:val="0"/>
          <w:color w:val="000000"/>
          <w:position w:val="0"/>
          <w:sz w:val="20"/>
          <w:u w:val="none"/>
          <w:vertAlign w:val="baseline"/>
        </w:rPr>
        <w:t xml:space="preserve">The new mental health parity law applies to plans "offered to, renewed for, or issued to" Montana residents. </w:t>
      </w:r>
      <w:hyperlink r:id="rId22" w:history="1">
        <w:r>
          <w:rPr>
            <w:rFonts w:ascii="arial" w:eastAsia="arial" w:hAnsi="arial" w:cs="arial"/>
            <w:b w:val="0"/>
            <w:i/>
            <w:strike w:val="0"/>
            <w:noProof w:val="0"/>
            <w:color w:val="0077CC"/>
            <w:position w:val="0"/>
            <w:sz w:val="20"/>
            <w:u w:val="single"/>
            <w:vertAlign w:val="baseline"/>
          </w:rPr>
          <w:t>2017 Mont. Laws Ch. 245 (H.B. 142)</w:t>
        </w:r>
      </w:hyperlink>
      <w:r>
        <w:rPr>
          <w:rFonts w:ascii="arial" w:eastAsia="arial" w:hAnsi="arial" w:cs="arial"/>
          <w:b w:val="0"/>
          <w:i w:val="0"/>
          <w:strike w:val="0"/>
          <w:noProof w:val="0"/>
          <w:color w:val="000000"/>
          <w:position w:val="0"/>
          <w:sz w:val="20"/>
          <w:u w:val="none"/>
          <w:vertAlign w:val="baseline"/>
        </w:rPr>
        <w:t xml:space="preserve"> (amending </w:t>
      </w:r>
      <w:hyperlink r:id="rId23" w:history="1">
        <w:r>
          <w:rPr>
            <w:rFonts w:ascii="arial" w:eastAsia="arial" w:hAnsi="arial" w:cs="arial"/>
            <w:b w:val="0"/>
            <w:i/>
            <w:strike w:val="0"/>
            <w:noProof w:val="0"/>
            <w:color w:val="0077CC"/>
            <w:position w:val="0"/>
            <w:sz w:val="20"/>
            <w:u w:val="single"/>
            <w:vertAlign w:val="baseline"/>
          </w:rPr>
          <w:t>§ 33-22-701</w:t>
        </w:r>
      </w:hyperlink>
      <w:r>
        <w:rPr>
          <w:rFonts w:ascii="arial" w:eastAsia="arial" w:hAnsi="arial" w:cs="arial"/>
          <w:b w:val="0"/>
          <w:i w:val="0"/>
          <w:strike w:val="0"/>
          <w:noProof w:val="0"/>
          <w:color w:val="000000"/>
          <w:position w:val="0"/>
          <w:sz w:val="20"/>
          <w:u w:val="none"/>
          <w:vertAlign w:val="baseline"/>
        </w:rPr>
        <w:t>). Disability insurance is no longer included in the mental health parity law.</w:t>
      </w:r>
      <w:hyperlink r:id="rId22" w:history="1">
        <w:r>
          <w:rPr>
            <w:rFonts w:ascii="arial" w:eastAsia="arial" w:hAnsi="arial" w:cs="arial"/>
            <w:b w:val="0"/>
            <w:i/>
            <w:strike w:val="0"/>
            <w:noProof w:val="0"/>
            <w:color w:val="0077CC"/>
            <w:position w:val="0"/>
            <w:sz w:val="20"/>
            <w:u w:val="single"/>
            <w:vertAlign w:val="baseline"/>
          </w:rPr>
          <w:t xml:space="preserve"> 2017 Mont. Laws Ch. 245</w:t>
        </w:r>
      </w:hyperlink>
      <w:r>
        <w:rPr>
          <w:rFonts w:ascii="arial" w:eastAsia="arial" w:hAnsi="arial" w:cs="arial"/>
          <w:b w:val="0"/>
          <w:i w:val="0"/>
          <w:strike w:val="0"/>
          <w:noProof w:val="0"/>
          <w:color w:val="000000"/>
          <w:position w:val="0"/>
          <w:sz w:val="20"/>
          <w:u w:val="none"/>
          <w:vertAlign w:val="baseline"/>
        </w:rPr>
        <w:t xml:space="preserve"> (H.B. 142) (repealing </w:t>
      </w:r>
      <w:hyperlink r:id="rId11" w:history="1">
        <w:r>
          <w:rPr>
            <w:rFonts w:ascii="arial" w:eastAsia="arial" w:hAnsi="arial" w:cs="arial"/>
            <w:b w:val="0"/>
            <w:i/>
            <w:strike w:val="0"/>
            <w:noProof w:val="0"/>
            <w:color w:val="0077CC"/>
            <w:position w:val="0"/>
            <w:sz w:val="20"/>
            <w:u w:val="single"/>
            <w:vertAlign w:val="baseline"/>
          </w:rPr>
          <w:t>§ 33-22-706</w:t>
        </w:r>
      </w:hyperlink>
      <w:r>
        <w:rPr>
          <w:rFonts w:ascii="arial" w:eastAsia="arial" w:hAnsi="arial" w:cs="arial"/>
          <w:b w:val="0"/>
          <w:i w:val="0"/>
          <w:strike w:val="0"/>
          <w:noProof w:val="0"/>
          <w:color w:val="000000"/>
          <w:position w:val="0"/>
          <w:sz w:val="20"/>
          <w:u w:val="none"/>
          <w:vertAlign w:val="baseline"/>
        </w:rPr>
        <w:t xml:space="preserve">). The Court will refrain from issuing an advisory opinion on how Sand-Smith's disability benefits may change under a renewed 2018 policy with the exact same language as the policy at issue in this case. </w:t>
      </w:r>
      <w:r>
        <w:rPr>
          <w:rFonts w:ascii="arial" w:eastAsia="arial" w:hAnsi="arial" w:cs="arial"/>
          <w:b w:val="0"/>
          <w:i/>
          <w:strike w:val="0"/>
          <w:noProof w:val="0"/>
          <w:color w:val="000000"/>
          <w:position w:val="0"/>
          <w:sz w:val="20"/>
          <w:u w:val="none"/>
          <w:vertAlign w:val="baseline"/>
        </w:rPr>
        <w:t xml:space="preserve">See </w:t>
      </w:r>
      <w:bookmarkStart w:id="52" w:name="Bookmark_I5RDK0MP2D6MSY0010000400"/>
      <w:bookmarkEnd w:id="52"/>
      <w:hyperlink r:id="rId24" w:history="1">
        <w:r>
          <w:rPr>
            <w:rFonts w:ascii="arial" w:eastAsia="arial" w:hAnsi="arial" w:cs="arial"/>
            <w:b w:val="0"/>
            <w:i/>
            <w:strike w:val="0"/>
            <w:noProof w:val="0"/>
            <w:color w:val="0077CC"/>
            <w:position w:val="0"/>
            <w:sz w:val="20"/>
            <w:u w:val="single"/>
            <w:vertAlign w:val="baseline"/>
          </w:rPr>
          <w:t>Orzechowski v. Boeing Company Non-Union Long-Term Disability Plan, Plan Number 625</w:t>
        </w:r>
      </w:hyperlink>
      <w:hyperlink r:id="rId24" w:history="1">
        <w:r>
          <w:rPr>
            <w:rFonts w:ascii="arial" w:eastAsia="arial" w:hAnsi="arial" w:cs="arial"/>
            <w:b w:val="0"/>
            <w:i/>
            <w:strike w:val="0"/>
            <w:noProof w:val="0"/>
            <w:color w:val="0077CC"/>
            <w:position w:val="0"/>
            <w:sz w:val="20"/>
            <w:u w:val="single"/>
            <w:vertAlign w:val="baseline"/>
          </w:rPr>
          <w:t>, 856 F.3d 686, 695 (9th Cir. 2017)</w:t>
        </w:r>
      </w:hyperlink>
      <w:r>
        <w:rPr>
          <w:rFonts w:ascii="arial" w:eastAsia="arial" w:hAnsi="arial" w:cs="arial"/>
          <w:b w:val="0"/>
          <w:i w:val="0"/>
          <w:strike w:val="0"/>
          <w:noProof w:val="0"/>
          <w:color w:val="000000"/>
          <w:position w:val="0"/>
          <w:sz w:val="20"/>
          <w:u w:val="none"/>
          <w:vertAlign w:val="baseline"/>
        </w:rPr>
        <w:t xml:space="preserve"> (holding California law that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policies "offered or renewed" after January 1, 2012, applied to policy issued in 2011 because the policy was renewed in 2012). </w:t>
      </w:r>
      <w:bookmarkStart w:id="53" w:name="Bookmark_I5RDK0MP2D6MSY0040000400"/>
      <w:bookmarkEnd w:id="53"/>
      <w:r>
        <w:rPr>
          <w:rFonts w:ascii="arial" w:eastAsia="arial" w:hAnsi="arial" w:cs="arial"/>
          <w:b w:val="0"/>
          <w:i w:val="0"/>
          <w:strike w:val="0"/>
          <w:noProof w:val="0"/>
          <w:color w:val="000000"/>
          <w:position w:val="0"/>
          <w:sz w:val="20"/>
          <w:u w:val="none"/>
          <w:vertAlign w:val="baseline"/>
        </w:rPr>
        <w:t>Suffice to say that the future amount owed by Liberty Life is less than certain due to the fluid nature of ERISA welfare benefit plans. Liberty Life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is not entitled to a stay by bond of the summary judgment order because the amount due is not definite and certain. </w:t>
      </w:r>
      <w:bookmarkStart w:id="54" w:name="Bookmark_I5RDK0MP2D6MSY0030000400"/>
      <w:bookmarkEnd w:id="54"/>
      <w:hyperlink r:id="rId18" w:history="1">
        <w:r>
          <w:rPr>
            <w:rFonts w:ascii="arial" w:eastAsia="arial" w:hAnsi="arial" w:cs="arial"/>
            <w:b w:val="0"/>
            <w:i/>
            <w:strike w:val="0"/>
            <w:noProof w:val="0"/>
            <w:color w:val="0077CC"/>
            <w:position w:val="0"/>
            <w:sz w:val="20"/>
            <w:u w:val="single"/>
            <w:vertAlign w:val="baseline"/>
          </w:rPr>
          <w:t>Ministry of Defense</w:t>
        </w:r>
      </w:hyperlink>
      <w:hyperlink r:id="rId18" w:history="1">
        <w:r>
          <w:rPr>
            <w:rFonts w:ascii="arial" w:eastAsia="arial" w:hAnsi="arial" w:cs="arial"/>
            <w:b w:val="0"/>
            <w:i/>
            <w:strike w:val="0"/>
            <w:noProof w:val="0"/>
            <w:color w:val="0077CC"/>
            <w:position w:val="0"/>
            <w:sz w:val="20"/>
            <w:u w:val="single"/>
            <w:vertAlign w:val="baseline"/>
          </w:rPr>
          <w:t>, 665 F.3d at 1101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11"/>
      <w:bookmarkEnd w:id="55"/>
      <w:bookmarkStart w:id="56" w:name="Bookmark_I5RDK0MP2HM6SN0010000400"/>
      <w:bookmarkEnd w:id="56"/>
      <w:bookmarkStart w:id="57" w:name="Bookmark_I2BNY1GKDGJ000KD0P000028"/>
      <w:bookmarkEnd w:id="57"/>
      <w:bookmarkStart w:id="58" w:name="Bookmark_I5RDK0MP2HM6SN0030000400"/>
      <w:bookmarkEnd w:id="58"/>
      <w:bookmarkStart w:id="59" w:name="Bookmark_I5RDK0MP2HM6SN0050000400"/>
      <w:bookmarkEnd w:id="59"/>
      <w:r>
        <w:rPr>
          <w:rFonts w:ascii="arial" w:eastAsia="arial" w:hAnsi="arial" w:cs="arial"/>
          <w:b w:val="0"/>
          <w:i w:val="0"/>
          <w:strike w:val="0"/>
          <w:noProof w:val="0"/>
          <w:color w:val="000000"/>
          <w:position w:val="0"/>
          <w:sz w:val="20"/>
          <w:u w:val="none"/>
          <w:vertAlign w:val="baseline"/>
        </w:rPr>
        <w:t xml:space="preserve">Nonetheless, district courts possess discretion to stay a decision pending appeal based on the circumstances of the particular case. </w:t>
      </w:r>
      <w:bookmarkStart w:id="60" w:name="Bookmark_I5RDK0MP2D6MSY0050000400"/>
      <w:bookmarkEnd w:id="60"/>
      <w:hyperlink r:id="rId25" w:history="1">
        <w:r>
          <w:rPr>
            <w:rFonts w:ascii="arial" w:eastAsia="arial" w:hAnsi="arial" w:cs="arial"/>
            <w:b w:val="0"/>
            <w:i/>
            <w:strike w:val="0"/>
            <w:noProof w:val="0"/>
            <w:color w:val="0077CC"/>
            <w:position w:val="0"/>
            <w:sz w:val="20"/>
            <w:u w:val="single"/>
            <w:vertAlign w:val="baseline"/>
          </w:rPr>
          <w:t>Nken v. Holder</w:t>
        </w:r>
      </w:hyperlink>
      <w:hyperlink r:id="rId25" w:history="1">
        <w:r>
          <w:rPr>
            <w:rFonts w:ascii="arial" w:eastAsia="arial" w:hAnsi="arial" w:cs="arial"/>
            <w:b w:val="0"/>
            <w:i/>
            <w:strike w:val="0"/>
            <w:noProof w:val="0"/>
            <w:color w:val="0077CC"/>
            <w:position w:val="0"/>
            <w:sz w:val="20"/>
            <w:u w:val="single"/>
            <w:vertAlign w:val="baseline"/>
          </w:rPr>
          <w:t>, 556 U.S. 418, 433, 129 S. Ct. 1749, 173 L. Ed. 2d 550 (2009)</w:t>
        </w:r>
      </w:hyperlink>
      <w:r>
        <w:rPr>
          <w:rFonts w:ascii="arial" w:eastAsia="arial" w:hAnsi="arial" w:cs="arial"/>
          <w:b w:val="0"/>
          <w:i w:val="0"/>
          <w:strike w:val="0"/>
          <w:noProof w:val="0"/>
          <w:color w:val="000000"/>
          <w:position w:val="0"/>
          <w:sz w:val="20"/>
          <w:u w:val="none"/>
          <w:vertAlign w:val="baseline"/>
        </w:rPr>
        <w:t xml:space="preserve">. The traditional test for a stay consists of four factors: (1) whether the stay applicant has made a strong showing that he is likely to succeed on the merits; (2) whether the applicant will be irreparably injured absent a stay; (3) whether issuance of the stay will substantially injure other parties interested in the proceeding; and (4) where the public interest lies. </w:t>
      </w:r>
      <w:bookmarkStart w:id="61" w:name="Bookmark_I5RDK0MP2HM6SN0020000400"/>
      <w:bookmarkEnd w:id="61"/>
      <w:hyperlink r:id="rId26" w:history="1">
        <w:r>
          <w:rPr>
            <w:rFonts w:ascii="arial" w:eastAsia="arial" w:hAnsi="arial" w:cs="arial"/>
            <w:b w:val="0"/>
            <w:i/>
            <w:strike w:val="0"/>
            <w:noProof w:val="0"/>
            <w:color w:val="0077CC"/>
            <w:position w:val="0"/>
            <w:sz w:val="20"/>
            <w:u w:val="single"/>
            <w:vertAlign w:val="baseline"/>
          </w:rPr>
          <w:t>Hilton v. Braunskill</w:t>
        </w:r>
      </w:hyperlink>
      <w:hyperlink r:id="rId26" w:history="1">
        <w:r>
          <w:rPr>
            <w:rFonts w:ascii="arial" w:eastAsia="arial" w:hAnsi="arial" w:cs="arial"/>
            <w:b w:val="0"/>
            <w:i/>
            <w:strike w:val="0"/>
            <w:noProof w:val="0"/>
            <w:color w:val="0077CC"/>
            <w:position w:val="0"/>
            <w:sz w:val="20"/>
            <w:u w:val="single"/>
            <w:vertAlign w:val="baseline"/>
          </w:rPr>
          <w:t>, 481 U.S. 770, 776, 107 S. Ct. 2113, 95 L. Ed. 2d 724 (1987)</w:t>
        </w:r>
      </w:hyperlink>
      <w:r>
        <w:rPr>
          <w:rFonts w:ascii="arial" w:eastAsia="arial" w:hAnsi="arial" w:cs="arial"/>
          <w:b w:val="0"/>
          <w:i w:val="0"/>
          <w:strike w:val="0"/>
          <w:noProof w:val="0"/>
          <w:color w:val="000000"/>
          <w:position w:val="0"/>
          <w:sz w:val="20"/>
          <w:u w:val="none"/>
          <w:vertAlign w:val="baseline"/>
        </w:rPr>
        <w:t xml:space="preserve">. </w:t>
      </w:r>
      <w:bookmarkStart w:id="62" w:name="Bookmark_I5RDK0MP2N1R5X0020000400"/>
      <w:bookmarkEnd w:id="62"/>
      <w:r>
        <w:rPr>
          <w:rFonts w:ascii="arial" w:eastAsia="arial" w:hAnsi="arial" w:cs="arial"/>
          <w:b w:val="0"/>
          <w:i w:val="0"/>
          <w:strike w:val="0"/>
          <w:noProof w:val="0"/>
          <w:color w:val="000000"/>
          <w:position w:val="0"/>
          <w:sz w:val="20"/>
          <w:u w:val="none"/>
          <w:vertAlign w:val="baseline"/>
        </w:rPr>
        <w:t xml:space="preserve">Irreparable harm is a bedrock requirement for a stay. </w:t>
      </w:r>
      <w:bookmarkStart w:id="63" w:name="Bookmark_I5RDK0MP2HM6SN0040000400"/>
      <w:bookmarkEnd w:id="63"/>
      <w:hyperlink r:id="rId27" w:history="1">
        <w:r>
          <w:rPr>
            <w:rFonts w:ascii="arial" w:eastAsia="arial" w:hAnsi="arial" w:cs="arial"/>
            <w:b w:val="0"/>
            <w:i/>
            <w:strike w:val="0"/>
            <w:noProof w:val="0"/>
            <w:color w:val="0077CC"/>
            <w:position w:val="0"/>
            <w:sz w:val="20"/>
            <w:u w:val="single"/>
            <w:vertAlign w:val="baseline"/>
          </w:rPr>
          <w:t>Leiva-Perez v. Holder</w:t>
        </w:r>
      </w:hyperlink>
      <w:hyperlink r:id="rId27" w:history="1">
        <w:r>
          <w:rPr>
            <w:rFonts w:ascii="arial" w:eastAsia="arial" w:hAnsi="arial" w:cs="arial"/>
            <w:b w:val="0"/>
            <w:i/>
            <w:strike w:val="0"/>
            <w:noProof w:val="0"/>
            <w:color w:val="0077CC"/>
            <w:position w:val="0"/>
            <w:sz w:val="20"/>
            <w:u w:val="single"/>
            <w:vertAlign w:val="baseline"/>
          </w:rPr>
          <w:t>, 640 F.3d 962, 965 (9th Cir. 2011)</w:t>
        </w:r>
      </w:hyperlink>
      <w:r>
        <w:rPr>
          <w:rFonts w:ascii="arial" w:eastAsia="arial" w:hAnsi="arial" w:cs="arial"/>
          <w:b w:val="0"/>
          <w:i w:val="0"/>
          <w:strike w:val="0"/>
          <w:noProof w:val="0"/>
          <w:color w:val="000000"/>
          <w:position w:val="0"/>
          <w:sz w:val="20"/>
          <w:u w:val="none"/>
          <w:vertAlign w:val="baseline"/>
        </w:rPr>
        <w:t xml:space="preserve">. </w:t>
      </w:r>
      <w:bookmarkStart w:id="64" w:name="Bookmark_I5RDK0MP2N1R5X0020000400_2"/>
      <w:bookmarkEnd w:id="64"/>
      <w:r>
        <w:rPr>
          <w:rFonts w:ascii="arial" w:eastAsia="arial" w:hAnsi="arial" w:cs="arial"/>
          <w:b w:val="0"/>
          <w:i w:val="0"/>
          <w:strike w:val="0"/>
          <w:noProof w:val="0"/>
          <w:color w:val="000000"/>
          <w:position w:val="0"/>
          <w:sz w:val="20"/>
          <w:u w:val="none"/>
          <w:vertAlign w:val="baseline"/>
        </w:rPr>
        <w:t xml:space="preserve">A party that fails to meet the minimum threshold showing of irreparable harm is not entitled to a stay, regardless of its showing on the other factors. </w:t>
      </w:r>
      <w:bookmarkStart w:id="65" w:name="Bookmark_I5RDK0MP2N1R5X0010000400"/>
      <w:bookmarkEnd w:id="65"/>
      <w:hyperlink r:id="rId27" w:history="1">
        <w:r>
          <w:rPr>
            <w:rFonts w:ascii="arial" w:eastAsia="arial" w:hAnsi="arial" w:cs="arial"/>
            <w:b w:val="0"/>
            <w:i/>
            <w:strike w:val="0"/>
            <w:noProof w:val="0"/>
            <w:color w:val="0077CC"/>
            <w:position w:val="0"/>
            <w:sz w:val="20"/>
            <w:u w:val="single"/>
            <w:vertAlign w:val="baseline"/>
          </w:rPr>
          <w:t>Leiva-Perez</w:t>
        </w:r>
      </w:hyperlink>
      <w:hyperlink r:id="rId27" w:history="1">
        <w:r>
          <w:rPr>
            <w:rFonts w:ascii="arial" w:eastAsia="arial" w:hAnsi="arial" w:cs="arial"/>
            <w:b w:val="0"/>
            <w:i/>
            <w:strike w:val="0"/>
            <w:noProof w:val="0"/>
            <w:color w:val="0077CC"/>
            <w:position w:val="0"/>
            <w:sz w:val="20"/>
            <w:u w:val="single"/>
            <w:vertAlign w:val="baseline"/>
          </w:rPr>
          <w:t>, 640 F.3d at 965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12"/>
      <w:bookmarkEnd w:id="66"/>
      <w:bookmarkStart w:id="67" w:name="Bookmark_I5RDK0MP2N1R5X0040000400"/>
      <w:bookmarkEnd w:id="67"/>
      <w:bookmarkStart w:id="68" w:name="Bookmark_I5RDK0MP2HM6SP0010000400"/>
      <w:bookmarkEnd w:id="68"/>
      <w:bookmarkStart w:id="69" w:name="Bookmark_I5RDK0MP2HM6SP0030000400"/>
      <w:bookmarkEnd w:id="69"/>
      <w:r>
        <w:rPr>
          <w:rFonts w:ascii="arial" w:eastAsia="arial" w:hAnsi="arial" w:cs="arial"/>
          <w:b w:val="0"/>
          <w:i w:val="0"/>
          <w:strike w:val="0"/>
          <w:noProof w:val="0"/>
          <w:color w:val="000000"/>
          <w:position w:val="0"/>
          <w:sz w:val="20"/>
          <w:u w:val="none"/>
          <w:vertAlign w:val="baseline"/>
        </w:rPr>
        <w:t xml:space="preserve">Irreparable harm requires more than "simply showing some possibility of irreparable injury." </w:t>
      </w:r>
      <w:bookmarkStart w:id="70" w:name="Bookmark_I5RDK0MP2N1R5X0030000400"/>
      <w:bookmarkEnd w:id="70"/>
      <w:hyperlink r:id="rId25" w:history="1">
        <w:r>
          <w:rPr>
            <w:rFonts w:ascii="arial" w:eastAsia="arial" w:hAnsi="arial" w:cs="arial"/>
            <w:b w:val="0"/>
            <w:i/>
            <w:strike w:val="0"/>
            <w:noProof w:val="0"/>
            <w:color w:val="0077CC"/>
            <w:position w:val="0"/>
            <w:sz w:val="20"/>
            <w:u w:val="single"/>
            <w:vertAlign w:val="baseline"/>
          </w:rPr>
          <w:t>Nken</w:t>
        </w:r>
      </w:hyperlink>
      <w:hyperlink r:id="rId25" w:history="1">
        <w:r>
          <w:rPr>
            <w:rFonts w:ascii="arial" w:eastAsia="arial" w:hAnsi="arial" w:cs="arial"/>
            <w:b w:val="0"/>
            <w:i/>
            <w:strike w:val="0"/>
            <w:noProof w:val="0"/>
            <w:color w:val="0077CC"/>
            <w:position w:val="0"/>
            <w:sz w:val="20"/>
            <w:u w:val="single"/>
            <w:vertAlign w:val="baseline"/>
          </w:rPr>
          <w:t>, 556 U.S. at 434</w:t>
        </w:r>
      </w:hyperlink>
      <w:r>
        <w:rPr>
          <w:rFonts w:ascii="arial" w:eastAsia="arial" w:hAnsi="arial" w:cs="arial"/>
          <w:b w:val="0"/>
          <w:i w:val="0"/>
          <w:strike w:val="0"/>
          <w:noProof w:val="0"/>
          <w:color w:val="000000"/>
          <w:position w:val="0"/>
          <w:sz w:val="20"/>
          <w:u w:val="none"/>
          <w:vertAlign w:val="baseline"/>
        </w:rPr>
        <w:t xml:space="preserve">. </w:t>
      </w:r>
      <w:bookmarkStart w:id="71" w:name="Bookmark_I5RDK0MP2HM6SP0050000400"/>
      <w:bookmarkEnd w:id="71"/>
      <w:r>
        <w:rPr>
          <w:rFonts w:ascii="arial" w:eastAsia="arial" w:hAnsi="arial" w:cs="arial"/>
          <w:b w:val="0"/>
          <w:i w:val="0"/>
          <w:strike w:val="0"/>
          <w:noProof w:val="0"/>
          <w:color w:val="000000"/>
          <w:position w:val="0"/>
          <w:sz w:val="20"/>
          <w:u w:val="none"/>
          <w:vertAlign w:val="baseline"/>
        </w:rPr>
        <w:t xml:space="preserve">Instead, a party must show "irreparable harm is probable if the stay is not granted." </w:t>
      </w:r>
      <w:bookmarkStart w:id="72" w:name="Bookmark_I5RDK0MP2N1R5X0050000400"/>
      <w:bookmarkEnd w:id="72"/>
      <w:hyperlink r:id="rId27" w:history="1">
        <w:r>
          <w:rPr>
            <w:rFonts w:ascii="arial" w:eastAsia="arial" w:hAnsi="arial" w:cs="arial"/>
            <w:b w:val="0"/>
            <w:i/>
            <w:strike w:val="0"/>
            <w:noProof w:val="0"/>
            <w:color w:val="0077CC"/>
            <w:position w:val="0"/>
            <w:sz w:val="20"/>
            <w:u w:val="single"/>
            <w:vertAlign w:val="baseline"/>
          </w:rPr>
          <w:t>Leiva-Perez</w:t>
        </w:r>
      </w:hyperlink>
      <w:hyperlink r:id="rId27" w:history="1">
        <w:r>
          <w:rPr>
            <w:rFonts w:ascii="arial" w:eastAsia="arial" w:hAnsi="arial" w:cs="arial"/>
            <w:b w:val="0"/>
            <w:i/>
            <w:strike w:val="0"/>
            <w:noProof w:val="0"/>
            <w:color w:val="0077CC"/>
            <w:position w:val="0"/>
            <w:sz w:val="20"/>
            <w:u w:val="single"/>
            <w:vertAlign w:val="baseline"/>
          </w:rPr>
          <w:t>, 640 F.3d at 968</w:t>
        </w:r>
      </w:hyperlink>
      <w:r>
        <w:rPr>
          <w:rFonts w:ascii="arial" w:eastAsia="arial" w:hAnsi="arial" w:cs="arial"/>
          <w:b w:val="0"/>
          <w:i w:val="0"/>
          <w:strike w:val="0"/>
          <w:noProof w:val="0"/>
          <w:color w:val="000000"/>
          <w:position w:val="0"/>
          <w:sz w:val="20"/>
          <w:u w:val="none"/>
          <w:vertAlign w:val="baseline"/>
        </w:rPr>
        <w:t xml:space="preserve">. </w:t>
      </w:r>
      <w:bookmarkStart w:id="73" w:name="Bookmark_I5RDK0MP2SF7XP0020000400"/>
      <w:bookmarkEnd w:id="73"/>
      <w:r>
        <w:rPr>
          <w:rFonts w:ascii="arial" w:eastAsia="arial" w:hAnsi="arial" w:cs="arial"/>
          <w:b w:val="0"/>
          <w:i w:val="0"/>
          <w:strike w:val="0"/>
          <w:noProof w:val="0"/>
          <w:color w:val="000000"/>
          <w:position w:val="0"/>
          <w:sz w:val="20"/>
          <w:u w:val="none"/>
          <w:vertAlign w:val="baseline"/>
        </w:rPr>
        <w:t xml:space="preserve">Normally, the mere payment of money is not considered irreparable harm. </w:t>
      </w:r>
      <w:r>
        <w:rPr>
          <w:rFonts w:ascii="arial" w:eastAsia="arial" w:hAnsi="arial" w:cs="arial"/>
          <w:b w:val="0"/>
          <w:i/>
          <w:strike w:val="0"/>
          <w:noProof w:val="0"/>
          <w:color w:val="000000"/>
          <w:position w:val="0"/>
          <w:sz w:val="20"/>
          <w:u w:val="none"/>
          <w:vertAlign w:val="baseline"/>
        </w:rPr>
        <w:t xml:space="preserve">See </w:t>
      </w:r>
      <w:bookmarkStart w:id="74" w:name="Bookmark_I5RDK0MP2HM6SP0020000400"/>
      <w:bookmarkEnd w:id="74"/>
      <w:hyperlink r:id="rId28" w:history="1">
        <w:r>
          <w:rPr>
            <w:rFonts w:ascii="arial" w:eastAsia="arial" w:hAnsi="arial" w:cs="arial"/>
            <w:b w:val="0"/>
            <w:i/>
            <w:strike w:val="0"/>
            <w:noProof w:val="0"/>
            <w:color w:val="0077CC"/>
            <w:position w:val="0"/>
            <w:sz w:val="20"/>
            <w:u w:val="single"/>
            <w:vertAlign w:val="baseline"/>
          </w:rPr>
          <w:t>Sampson v. Murray</w:t>
        </w:r>
      </w:hyperlink>
      <w:hyperlink r:id="rId28" w:history="1">
        <w:r>
          <w:rPr>
            <w:rFonts w:ascii="arial" w:eastAsia="arial" w:hAnsi="arial" w:cs="arial"/>
            <w:b w:val="0"/>
            <w:i/>
            <w:strike w:val="0"/>
            <w:noProof w:val="0"/>
            <w:color w:val="0077CC"/>
            <w:position w:val="0"/>
            <w:sz w:val="20"/>
            <w:u w:val="single"/>
            <w:vertAlign w:val="baseline"/>
          </w:rPr>
          <w:t>, 415 U.S. 61, 90, 94 S. Ct. 937, 39 L. Ed. 2d 166 (1974)</w:t>
        </w:r>
      </w:hyperlink>
      <w:r>
        <w:rPr>
          <w:rFonts w:ascii="arial" w:eastAsia="arial" w:hAnsi="arial" w:cs="arial"/>
          <w:b w:val="0"/>
          <w:i w:val="0"/>
          <w:strike w:val="0"/>
          <w:noProof w:val="0"/>
          <w:color w:val="000000"/>
          <w:position w:val="0"/>
          <w:sz w:val="20"/>
          <w:u w:val="none"/>
          <w:vertAlign w:val="baseline"/>
        </w:rPr>
        <w:t xml:space="preserve">. </w:t>
      </w:r>
      <w:bookmarkStart w:id="75" w:name="Bookmark_I5RDK0MP2SF7XP0020000400_2"/>
      <w:bookmarkEnd w:id="75"/>
      <w:bookmarkStart w:id="76" w:name="Bookmark_I5RDK0MP2HM6SP0050000400_2"/>
      <w:bookmarkEnd w:id="76"/>
      <w:r>
        <w:rPr>
          <w:rFonts w:ascii="arial" w:eastAsia="arial" w:hAnsi="arial" w:cs="arial"/>
          <w:b w:val="0"/>
          <w:i w:val="0"/>
          <w:strike w:val="0"/>
          <w:noProof w:val="0"/>
          <w:color w:val="000000"/>
          <w:position w:val="0"/>
          <w:sz w:val="20"/>
          <w:u w:val="none"/>
          <w:vertAlign w:val="baseline"/>
        </w:rPr>
        <w:t>The possibility that adequate compensatory or other corrective relief will be available at a later date weighs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heavily against a claim of irreparable harm. </w:t>
      </w:r>
      <w:bookmarkStart w:id="77" w:name="Bookmark_I5RDK0MP2HM6SP0040000400"/>
      <w:bookmarkEnd w:id="77"/>
      <w:hyperlink r:id="rId28" w:history="1">
        <w:r>
          <w:rPr>
            <w:rFonts w:ascii="arial" w:eastAsia="arial" w:hAnsi="arial" w:cs="arial"/>
            <w:b w:val="0"/>
            <w:i/>
            <w:strike w:val="0"/>
            <w:noProof w:val="0"/>
            <w:color w:val="0077CC"/>
            <w:position w:val="0"/>
            <w:sz w:val="20"/>
            <w:u w:val="single"/>
            <w:vertAlign w:val="baseline"/>
          </w:rPr>
          <w:t>Sampson</w:t>
        </w:r>
      </w:hyperlink>
      <w:hyperlink r:id="rId28" w:history="1">
        <w:r>
          <w:rPr>
            <w:rFonts w:ascii="arial" w:eastAsia="arial" w:hAnsi="arial" w:cs="arial"/>
            <w:b w:val="0"/>
            <w:i/>
            <w:strike w:val="0"/>
            <w:noProof w:val="0"/>
            <w:color w:val="0077CC"/>
            <w:position w:val="0"/>
            <w:sz w:val="20"/>
            <w:u w:val="single"/>
            <w:vertAlign w:val="baseline"/>
          </w:rPr>
          <w:t>, 415 U.S. at 90</w:t>
        </w:r>
      </w:hyperlink>
      <w:r>
        <w:rPr>
          <w:rFonts w:ascii="arial" w:eastAsia="arial" w:hAnsi="arial" w:cs="arial"/>
          <w:b w:val="0"/>
          <w:i w:val="0"/>
          <w:strike w:val="0"/>
          <w:noProof w:val="0"/>
          <w:color w:val="000000"/>
          <w:position w:val="0"/>
          <w:sz w:val="20"/>
          <w:u w:val="none"/>
          <w:vertAlign w:val="baseline"/>
        </w:rPr>
        <w:t xml:space="preserve">. In Montana, a party may have a restitution or unjust enrichment claim against a party to "recover what one has lost by the enforcement of a judgment subsequently reversed." </w:t>
      </w:r>
      <w:bookmarkStart w:id="78" w:name="Bookmark_I5RDK0MP2SF7XP0010000400"/>
      <w:bookmarkEnd w:id="78"/>
      <w:hyperlink r:id="rId29" w:history="1">
        <w:r>
          <w:rPr>
            <w:rFonts w:ascii="arial" w:eastAsia="arial" w:hAnsi="arial" w:cs="arial"/>
            <w:b w:val="0"/>
            <w:i/>
            <w:strike w:val="0"/>
            <w:noProof w:val="0"/>
            <w:color w:val="0077CC"/>
            <w:position w:val="0"/>
            <w:sz w:val="20"/>
            <w:u w:val="single"/>
            <w:vertAlign w:val="baseline"/>
          </w:rPr>
          <w:t>Progressive Direct Ins. v. Stuivenga</w:t>
        </w:r>
      </w:hyperlink>
      <w:hyperlink r:id="rId29" w:history="1">
        <w:r>
          <w:rPr>
            <w:rFonts w:ascii="arial" w:eastAsia="arial" w:hAnsi="arial" w:cs="arial"/>
            <w:b w:val="0"/>
            <w:i/>
            <w:strike w:val="0"/>
            <w:noProof w:val="0"/>
            <w:color w:val="0077CC"/>
            <w:position w:val="0"/>
            <w:sz w:val="20"/>
            <w:u w:val="single"/>
            <w:vertAlign w:val="baseline"/>
          </w:rPr>
          <w:t>, 2012 MT 75, 364 Mont. 390, 276 P.3d 867, 872 (Mont.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13"/>
      <w:bookmarkEnd w:id="79"/>
      <w:r>
        <w:rPr>
          <w:rFonts w:ascii="arial" w:eastAsia="arial" w:hAnsi="arial" w:cs="arial"/>
          <w:b w:val="0"/>
          <w:i w:val="0"/>
          <w:strike w:val="0"/>
          <w:noProof w:val="0"/>
          <w:color w:val="000000"/>
          <w:position w:val="0"/>
          <w:sz w:val="20"/>
          <w:u w:val="none"/>
          <w:vertAlign w:val="baseline"/>
        </w:rPr>
        <w:t xml:space="preserve">Here, Liberty Life has not met the threshold showing of irreparable harm. Normally, the payment of money is not considered irreparable. If this were a case where the appealing party faced financial hardship, it might present the exception to the rule. Instead, this case is quite the reverse. In Liberty Life's own words, it is "a subsidiary in a multi-billion dollar corporation." Doc. 58 at 3. Attached to Liberty Life's motion is a 2016 financial overview of the company that reports a revenue of $38.3 billion dollars. Doc. 58-1 at 7. It is Sand-Smith, the party that won below, that faces financial hardship without her disability benefits. </w:t>
      </w:r>
      <w:bookmarkStart w:id="80" w:name="Bookmark_I5RDK0MP2SF7XP0040000400"/>
      <w:bookmarkEnd w:id="80"/>
      <w:r>
        <w:rPr>
          <w:rFonts w:ascii="arial" w:eastAsia="arial" w:hAnsi="arial" w:cs="arial"/>
          <w:b w:val="0"/>
          <w:i w:val="0"/>
          <w:strike w:val="0"/>
          <w:noProof w:val="0"/>
          <w:color w:val="000000"/>
          <w:position w:val="0"/>
          <w:sz w:val="20"/>
          <w:u w:val="none"/>
          <w:vertAlign w:val="baseline"/>
        </w:rPr>
        <w:t xml:space="preserve">Doc. 64-1 (Affidavit of Sand-Smith). Should Liberty Life be successful on appeal, it no doubt has the resources to pursue whatever legal remedies it is entitled to. An insufficient showing of irreparable injury obviates the need to analyze the other </w:t>
      </w:r>
      <w:r>
        <w:rPr>
          <w:rFonts w:ascii="arial" w:eastAsia="arial" w:hAnsi="arial" w:cs="arial"/>
          <w:b w:val="0"/>
          <w:i/>
          <w:strike w:val="0"/>
          <w:noProof w:val="0"/>
          <w:color w:val="000000"/>
          <w:position w:val="0"/>
          <w:sz w:val="20"/>
          <w:u w:val="none"/>
          <w:vertAlign w:val="baseline"/>
        </w:rPr>
        <w:t>Hilton</w:t>
      </w:r>
      <w:r>
        <w:rPr>
          <w:rFonts w:ascii="arial" w:eastAsia="arial" w:hAnsi="arial" w:cs="arial"/>
          <w:b w:val="0"/>
          <w:i w:val="0"/>
          <w:strike w:val="0"/>
          <w:noProof w:val="0"/>
          <w:color w:val="000000"/>
          <w:position w:val="0"/>
          <w:sz w:val="20"/>
          <w:u w:val="none"/>
          <w:vertAlign w:val="baseline"/>
        </w:rPr>
        <w:t xml:space="preserve"> factors. </w:t>
      </w:r>
      <w:bookmarkStart w:id="81" w:name="Bookmark_I5RDK0MP2SF7XP0030000400"/>
      <w:bookmarkEnd w:id="81"/>
      <w:hyperlink r:id="rId27" w:history="1">
        <w:r>
          <w:rPr>
            <w:rFonts w:ascii="arial" w:eastAsia="arial" w:hAnsi="arial" w:cs="arial"/>
            <w:b w:val="0"/>
            <w:i/>
            <w:strike w:val="0"/>
            <w:noProof w:val="0"/>
            <w:color w:val="0077CC"/>
            <w:position w:val="0"/>
            <w:sz w:val="20"/>
            <w:u w:val="single"/>
            <w:vertAlign w:val="baseline"/>
          </w:rPr>
          <w:t>Leiva-Perez</w:t>
        </w:r>
      </w:hyperlink>
      <w:hyperlink r:id="rId27" w:history="1">
        <w:r>
          <w:rPr>
            <w:rFonts w:ascii="arial" w:eastAsia="arial" w:hAnsi="arial" w:cs="arial"/>
            <w:b w:val="0"/>
            <w:i/>
            <w:strike w:val="0"/>
            <w:noProof w:val="0"/>
            <w:color w:val="0077CC"/>
            <w:position w:val="0"/>
            <w:sz w:val="20"/>
            <w:u w:val="single"/>
            <w:vertAlign w:val="baseline"/>
          </w:rPr>
          <w:t>, 640 F.3d at 965</w:t>
        </w:r>
      </w:hyperlink>
      <w:r>
        <w:rPr>
          <w:rFonts w:ascii="arial" w:eastAsia="arial" w:hAnsi="arial" w:cs="arial"/>
          <w:b w:val="0"/>
          <w:i w:val="0"/>
          <w:strike w:val="0"/>
          <w:noProof w:val="0"/>
          <w:color w:val="000000"/>
          <w:position w:val="0"/>
          <w:sz w:val="20"/>
          <w:u w:val="none"/>
          <w:vertAlign w:val="baseline"/>
        </w:rPr>
        <w:t>. Liberty Life's motion to stay is denied with respect to the summary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judgment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82" w:name="Bookmark_para_14"/>
      <w:bookmarkEnd w:id="82"/>
      <w:r>
        <w:rPr>
          <w:rFonts w:ascii="arial" w:eastAsia="arial" w:hAnsi="arial" w:cs="arial"/>
          <w:b w:val="0"/>
          <w:i w:val="0"/>
          <w:strike w:val="0"/>
          <w:noProof w:val="0"/>
          <w:color w:val="000000"/>
          <w:position w:val="0"/>
          <w:sz w:val="20"/>
          <w:u w:val="none"/>
          <w:vertAlign w:val="baseline"/>
        </w:rPr>
        <w:t>Sand-Smith's motion for contempt is denied. Liberty Life's motion to stay the judgment is granted with respect to the attorney fees and costs portion. The order for attorney fees and costs is hereby stayed effective upon Liberty Life posting bond in the amount of $28,633.47 plus interest. Liberty Life's motion to stay the judgment is denied with respect to the summary judgment portion.</w:t>
      </w:r>
    </w:p>
    <w:p>
      <w:pPr>
        <w:keepNext w:val="0"/>
        <w:widowControl w:val="0"/>
        <w:spacing w:before="200" w:after="0" w:line="260" w:lineRule="atLeast"/>
        <w:ind w:left="0" w:right="0" w:firstLine="0"/>
        <w:jc w:val="both"/>
      </w:pPr>
      <w:bookmarkStart w:id="83" w:name="Bookmark_para_15"/>
      <w:bookmarkEnd w:id="83"/>
      <w:r>
        <w:rPr>
          <w:rFonts w:ascii="arial" w:eastAsia="arial" w:hAnsi="arial" w:cs="arial"/>
          <w:b w:val="0"/>
          <w:i w:val="0"/>
          <w:strike w:val="0"/>
          <w:noProof w:val="0"/>
          <w:color w:val="000000"/>
          <w:position w:val="0"/>
          <w:sz w:val="20"/>
          <w:u w:val="none"/>
          <w:vertAlign w:val="baseline"/>
        </w:rPr>
        <w:t>DATED this 18th day of December, 2017.</w:t>
      </w:r>
    </w:p>
    <w:p>
      <w:pPr>
        <w:keepNext w:val="0"/>
        <w:widowControl w:val="0"/>
        <w:spacing w:before="200" w:after="0" w:line="260" w:lineRule="atLeast"/>
        <w:ind w:left="0" w:right="0" w:firstLine="0"/>
        <w:jc w:val="both"/>
      </w:pPr>
      <w:bookmarkStart w:id="84" w:name="Bookmark_para_16"/>
      <w:bookmarkEnd w:id="84"/>
      <w:r>
        <w:rPr>
          <w:rFonts w:ascii="arial" w:eastAsia="arial" w:hAnsi="arial" w:cs="arial"/>
          <w:b w:val="0"/>
          <w:i w:val="0"/>
          <w:strike w:val="0"/>
          <w:noProof w:val="0"/>
          <w:color w:val="000000"/>
          <w:position w:val="0"/>
          <w:sz w:val="20"/>
          <w:u w:val="none"/>
          <w:vertAlign w:val="baseline"/>
        </w:rPr>
        <w:t>/s/ Susan P. Watters</w:t>
      </w:r>
    </w:p>
    <w:p>
      <w:pPr>
        <w:keepNext w:val="0"/>
        <w:widowControl w:val="0"/>
        <w:spacing w:before="200" w:after="0" w:line="260" w:lineRule="atLeast"/>
        <w:ind w:left="0" w:right="0" w:firstLine="0"/>
        <w:jc w:val="both"/>
      </w:pPr>
      <w:bookmarkStart w:id="85" w:name="Bookmark_para_17"/>
      <w:bookmarkEnd w:id="85"/>
      <w:r>
        <w:rPr>
          <w:rFonts w:ascii="arial" w:eastAsia="arial" w:hAnsi="arial" w:cs="arial"/>
          <w:b w:val="0"/>
          <w:i w:val="0"/>
          <w:strike w:val="0"/>
          <w:noProof w:val="0"/>
          <w:color w:val="000000"/>
          <w:position w:val="0"/>
          <w:sz w:val="20"/>
          <w:u w:val="none"/>
          <w:vertAlign w:val="baseline"/>
        </w:rPr>
        <w:t>SUSAN P. WATTERS</w:t>
      </w:r>
    </w:p>
    <w:p>
      <w:pPr>
        <w:keepNext w:val="0"/>
        <w:widowControl w:val="0"/>
        <w:spacing w:before="200" w:after="0" w:line="260" w:lineRule="atLeast"/>
        <w:ind w:left="0" w:right="0" w:firstLine="0"/>
        <w:jc w:val="both"/>
      </w:pPr>
      <w:bookmarkStart w:id="86" w:name="Bookmark_para_18"/>
      <w:bookmarkEnd w:id="8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Sand-Smith v. Liberty Life Assur.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N66-9SM1-F04D-P0F5-00000-00&amp;context=" TargetMode="External" /><Relationship Id="rId11" Type="http://schemas.openxmlformats.org/officeDocument/2006/relationships/hyperlink" Target="https://advance.lexis.com/api/document?collection=statutes-legislation&amp;id=urn:contentItem:8MX5-NJ52-D6RV-H529-00000-00&amp;context=" TargetMode="External" /><Relationship Id="rId12" Type="http://schemas.openxmlformats.org/officeDocument/2006/relationships/hyperlink" Target="https://advance.lexis.com/api/document?collection=cases&amp;id=urn:contentItem:3S4X-B3X0-003B-P49Y-00000-00&amp;context=" TargetMode="External" /><Relationship Id="rId13" Type="http://schemas.openxmlformats.org/officeDocument/2006/relationships/hyperlink" Target="https://advance.lexis.com/api/document?collection=cases&amp;id=urn:contentItem:3S4W-XV90-001B-K4N5-00000-00&amp;context=" TargetMode="External" /><Relationship Id="rId14" Type="http://schemas.openxmlformats.org/officeDocument/2006/relationships/hyperlink" Target="https://advance.lexis.com/api/document?collection=cases&amp;id=urn:contentItem:3S4X-5WY0-008H-V2RN-00000-00&amp;context=" TargetMode="External" /><Relationship Id="rId15" Type="http://schemas.openxmlformats.org/officeDocument/2006/relationships/hyperlink" Target="https://advance.lexis.com/api/document?collection=cases&amp;id=urn:contentItem:3S4X-3HD0-0039-P4RX-00000-00&amp;context=" TargetMode="External" /><Relationship Id="rId16" Type="http://schemas.openxmlformats.org/officeDocument/2006/relationships/hyperlink" Target="https://advance.lexis.com/api/document?collection=cases&amp;id=urn:contentItem:3S4X-13G0-003B-G53P-00000-00&amp;context=" TargetMode="External" /><Relationship Id="rId17" Type="http://schemas.openxmlformats.org/officeDocument/2006/relationships/hyperlink" Target="https://advance.lexis.com/api/document?collection=cases&amp;id=urn:contentItem:3S4X-D8H0-0039-W0C9-00000-00&amp;context=" TargetMode="External" /><Relationship Id="rId18" Type="http://schemas.openxmlformats.org/officeDocument/2006/relationships/hyperlink" Target="https://advance.lexis.com/api/document?collection=cases&amp;id=urn:contentItem:54GK-R6T1-F04K-V0KJ-00000-00&amp;context=" TargetMode="External" /><Relationship Id="rId19" Type="http://schemas.openxmlformats.org/officeDocument/2006/relationships/hyperlink" Target="https://advance.lexis.com/api/document?collection=statutes-legislation&amp;id=urn:contentItem:4YF7-GST1-NRF4-40J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W-X550-003B-G098-00000-00&amp;context=" TargetMode="External" /><Relationship Id="rId21" Type="http://schemas.openxmlformats.org/officeDocument/2006/relationships/hyperlink" Target="https://advance.lexis.com/api/document?collection=statutes-legislation&amp;id=urn:contentItem:4YF7-GJT1-NRF4-4454-00000-00&amp;context=" TargetMode="External" /><Relationship Id="rId22" Type="http://schemas.openxmlformats.org/officeDocument/2006/relationships/hyperlink" Target="https://advance.lexis.com/api/document?collection=statutes-legislation&amp;id=urn:contentItem:5NH4-NSD1-K0HK-22PB-00000-00&amp;context=" TargetMode="External" /><Relationship Id="rId23" Type="http://schemas.openxmlformats.org/officeDocument/2006/relationships/hyperlink" Target="https://advance.lexis.com/api/document?collection=statutes-legislation&amp;id=urn:contentItem:8MX5-NDH2-D6RV-H4XX-00000-00&amp;context=" TargetMode="External" /><Relationship Id="rId24" Type="http://schemas.openxmlformats.org/officeDocument/2006/relationships/hyperlink" Target="https://advance.lexis.com/api/document?collection=cases&amp;id=urn:contentItem:5NHJ-14V1-F04K-V08D-00000-00&amp;context=" TargetMode="External" /><Relationship Id="rId25" Type="http://schemas.openxmlformats.org/officeDocument/2006/relationships/hyperlink" Target="https://advance.lexis.com/api/document?collection=cases&amp;id=urn:contentItem:4W4C-C5V0-TXFX-12TK-00000-00&amp;context=" TargetMode="External" /><Relationship Id="rId26" Type="http://schemas.openxmlformats.org/officeDocument/2006/relationships/hyperlink" Target="https://advance.lexis.com/api/document?collection=cases&amp;id=urn:contentItem:3S4X-HB50-003B-406C-00000-00&amp;context=" TargetMode="External" /><Relationship Id="rId27" Type="http://schemas.openxmlformats.org/officeDocument/2006/relationships/hyperlink" Target="https://advance.lexis.com/api/document?collection=cases&amp;id=urn:contentItem:52HK-3651-652R-817K-00000-00&amp;context=" TargetMode="External" /><Relationship Id="rId28" Type="http://schemas.openxmlformats.org/officeDocument/2006/relationships/hyperlink" Target="https://advance.lexis.com/api/document?collection=cases&amp;id=urn:contentItem:3S4X-CFC0-003B-S4D1-00000-00&amp;context=" TargetMode="External" /><Relationship Id="rId29" Type="http://schemas.openxmlformats.org/officeDocument/2006/relationships/hyperlink" Target="https://advance.lexis.com/api/document?collection=cases&amp;id=urn:contentItem:55CJ-PDD1-F04H-B003-00000-00&amp;context=" TargetMode="Externa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6F-SGH1-DXC8-70DR-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6W-XN51-F04D-P2M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Andren v. Alere,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71542186</vt:lpwstr>
  </property>
  <property fmtid="{D5CDD505-2E9C-101B-9397-08002B2CF9AE}" pid="3" name="LADocCount">
    <vt:lpwstr>1</vt:lpwstr>
  </property>
  <property fmtid="{D5CDD505-2E9C-101B-9397-08002B2CF9AE}" pid="4" name="UserPermID">
    <vt:lpwstr>urn:user:PA185916758</vt:lpwstr>
  </property>
</Properties>
</file>