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2:51 PM Z</w:t>
      </w:r>
    </w:p>
    <w:p>
      <w:pPr>
        <w:pStyle w:val="Heading1"/>
        <w:keepNext w:val="0"/>
        <w:widowControl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Simpson v. Harbilas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2018, Decided; February 21,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1:17-cv-0514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27410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994668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CHARLES A. SIMPSON, JR., Plaintiff v. ELIAS HARBILAS,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district court</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Charles A. Simpson, Jr., Plaintiff, Pro se,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 Miller, Defendant: Scott Thomas Wyland, Salzmann Hughes, P.C.,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A. Lenker, Defendant: Martha J Gale, Administrative Office of PA Courts, Philadelphia, PA.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William I. Arbuckle, U.S.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I. Arbuckle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ORDER STAYING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prisoner civil rights lawsuit has been assigned to this Court for resolution. Currently there are two motions to dismiss pending, and unresolved, in the case. (Docs. 18 &amp; 25). In addition, the defendants have filed a motion to stay discovery pending resolution of the first motion to dismiss, which has not been opposed by the plaintiff. (Doc. 23). For the reasons set forth below we will STAY further discovery pending resolution of the motion to dismiss filed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 w:name="Bookmark_para_2"/>
      <w:bookmarkEnd w:id="8"/>
      <w:bookmarkStart w:id="9" w:name="Bookmark_I5RX17C52N1RGH0020000400"/>
      <w:bookmarkEnd w:id="9"/>
      <w:r>
        <w:rPr>
          <w:rFonts w:ascii="arial" w:eastAsia="arial" w:hAnsi="arial" w:cs="arial"/>
          <w:b w:val="0"/>
          <w:i w:val="0"/>
          <w:strike w:val="0"/>
          <w:noProof w:val="0"/>
          <w:color w:val="000000"/>
          <w:position w:val="0"/>
          <w:sz w:val="20"/>
          <w:u w:val="none"/>
          <w:vertAlign w:val="baseline"/>
        </w:rPr>
        <w:t xml:space="preserve">Several basic guiding principles inform our resolution of the instant discovery issues. At the outset rulings regarding the proper scope and timing of discovery are matters consigned to the court's discretion and judgment. </w:t>
      </w:r>
      <w:bookmarkStart w:id="10" w:name="Bookmark_I5RX17C52N1RGH0040000400"/>
      <w:bookmarkEnd w:id="10"/>
      <w:r>
        <w:rPr>
          <w:rFonts w:ascii="arial" w:eastAsia="arial" w:hAnsi="arial" w:cs="arial"/>
          <w:b w:val="0"/>
          <w:i w:val="0"/>
          <w:strike w:val="0"/>
          <w:noProof w:val="0"/>
          <w:color w:val="000000"/>
          <w:position w:val="0"/>
          <w:sz w:val="20"/>
          <w:u w:val="none"/>
          <w:vertAlign w:val="baseline"/>
        </w:rPr>
        <w:t xml:space="preserve">Thus, it has long been held that decisions regarding </w:t>
      </w:r>
      <w:hyperlink r:id="rId8" w:history="1">
        <w:r>
          <w:rPr>
            <w:rFonts w:ascii="arial" w:eastAsia="arial" w:hAnsi="arial" w:cs="arial"/>
            <w:b w:val="0"/>
            <w:i/>
            <w:strike w:val="0"/>
            <w:noProof w:val="0"/>
            <w:color w:val="0077CC"/>
            <w:position w:val="0"/>
            <w:sz w:val="20"/>
            <w:u w:val="single"/>
            <w:vertAlign w:val="baseline"/>
          </w:rPr>
          <w:t>Rule 37</w:t>
        </w:r>
      </w:hyperlink>
      <w:r>
        <w:rPr>
          <w:rFonts w:ascii="arial" w:eastAsia="arial" w:hAnsi="arial" w:cs="arial"/>
          <w:b w:val="0"/>
          <w:i w:val="0"/>
          <w:strike w:val="0"/>
          <w:noProof w:val="0"/>
          <w:color w:val="000000"/>
          <w:position w:val="0"/>
          <w:sz w:val="20"/>
          <w:u w:val="none"/>
          <w:vertAlign w:val="baseline"/>
        </w:rPr>
        <w:t xml:space="preserve"> motions are "committed to the sound discretion of the district court." </w:t>
      </w:r>
      <w:bookmarkStart w:id="11" w:name="Bookmark_I5RX17C52N1RGH0010000400"/>
      <w:bookmarkEnd w:id="11"/>
      <w:hyperlink r:id="rId9" w:history="1">
        <w:r>
          <w:rPr>
            <w:rFonts w:ascii="arial" w:eastAsia="arial" w:hAnsi="arial" w:cs="arial"/>
            <w:b w:val="0"/>
            <w:i/>
            <w:strike w:val="0"/>
            <w:noProof w:val="0"/>
            <w:color w:val="0077CC"/>
            <w:position w:val="0"/>
            <w:sz w:val="20"/>
            <w:u w:val="single"/>
            <w:vertAlign w:val="baseline"/>
          </w:rPr>
          <w:t>DiGregorio v. First Rediscount Corp.</w:t>
        </w:r>
      </w:hyperlink>
      <w:hyperlink r:id="rId9" w:history="1">
        <w:r>
          <w:rPr>
            <w:rFonts w:ascii="arial" w:eastAsia="arial" w:hAnsi="arial" w:cs="arial"/>
            <w:b w:val="0"/>
            <w:i/>
            <w:strike w:val="0"/>
            <w:noProof w:val="0"/>
            <w:color w:val="0077CC"/>
            <w:position w:val="0"/>
            <w:sz w:val="20"/>
            <w:u w:val="single"/>
            <w:vertAlign w:val="baseline"/>
          </w:rPr>
          <w:t>, 506 F.2d 781, 788 (3d Cir. 1974)</w:t>
        </w:r>
      </w:hyperlink>
      <w:r>
        <w:rPr>
          <w:rFonts w:ascii="arial" w:eastAsia="arial" w:hAnsi="arial" w:cs="arial"/>
          <w:b w:val="0"/>
          <w:i w:val="0"/>
          <w:strike w:val="0"/>
          <w:noProof w:val="0"/>
          <w:color w:val="000000"/>
          <w:position w:val="0"/>
          <w:sz w:val="20"/>
          <w:u w:val="none"/>
          <w:vertAlign w:val="baseline"/>
        </w:rPr>
        <w:t xml:space="preserve">. </w:t>
      </w:r>
      <w:bookmarkStart w:id="12" w:name="Bookmark_I5RX17C52N1RGH0040000400_2"/>
      <w:bookmarkEnd w:id="12"/>
      <w:r>
        <w:rPr>
          <w:rFonts w:ascii="arial" w:eastAsia="arial" w:hAnsi="arial" w:cs="arial"/>
          <w:b w:val="0"/>
          <w:i w:val="0"/>
          <w:strike w:val="0"/>
          <w:noProof w:val="0"/>
          <w:color w:val="000000"/>
          <w:position w:val="0"/>
          <w:sz w:val="20"/>
          <w:u w:val="none"/>
          <w:vertAlign w:val="baseline"/>
        </w:rPr>
        <w:t>Similarly,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issues relating to the timing and scope of discovery permitted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also rest in the sound discretion of the Court. </w:t>
      </w:r>
      <w:bookmarkStart w:id="13" w:name="Bookmark_I5RX17C52HM62N0010000400"/>
      <w:bookmarkEnd w:id="13"/>
      <w:bookmarkStart w:id="14" w:name="Bookmark_I5RX17C52N1RGH0030000400"/>
      <w:bookmarkEnd w:id="14"/>
      <w:hyperlink r:id="rId10" w:history="1">
        <w:r>
          <w:rPr>
            <w:rFonts w:ascii="arial" w:eastAsia="arial" w:hAnsi="arial" w:cs="arial"/>
            <w:b w:val="0"/>
            <w:i/>
            <w:strike w:val="0"/>
            <w:noProof w:val="0"/>
            <w:color w:val="0077CC"/>
            <w:position w:val="0"/>
            <w:sz w:val="20"/>
            <w:u w:val="single"/>
            <w:vertAlign w:val="baseline"/>
          </w:rPr>
          <w:t>Wisniewski v. Johns-Manville Corp.</w:t>
        </w:r>
      </w:hyperlink>
      <w:hyperlink r:id="rId10" w:history="1">
        <w:r>
          <w:rPr>
            <w:rFonts w:ascii="arial" w:eastAsia="arial" w:hAnsi="arial" w:cs="arial"/>
            <w:b w:val="0"/>
            <w:i/>
            <w:strike w:val="0"/>
            <w:noProof w:val="0"/>
            <w:color w:val="0077CC"/>
            <w:position w:val="0"/>
            <w:sz w:val="20"/>
            <w:u w:val="single"/>
            <w:vertAlign w:val="baseline"/>
          </w:rPr>
          <w:t>, 812 F.2d 81, 90 (3d Cir. 1987)</w:t>
        </w:r>
      </w:hyperlink>
      <w:r>
        <w:rPr>
          <w:rFonts w:ascii="arial" w:eastAsia="arial" w:hAnsi="arial" w:cs="arial"/>
          <w:b w:val="0"/>
          <w:i w:val="0"/>
          <w:strike w:val="0"/>
          <w:noProof w:val="0"/>
          <w:color w:val="000000"/>
          <w:position w:val="0"/>
          <w:sz w:val="20"/>
          <w:u w:val="none"/>
          <w:vertAlign w:val="baseline"/>
        </w:rPr>
        <w:t xml:space="preserve">. </w:t>
      </w:r>
      <w:bookmarkStart w:id="15" w:name="Bookmark_I5RX17C52HM62N0010000400_2"/>
      <w:bookmarkEnd w:id="15"/>
      <w:r>
        <w:rPr>
          <w:rFonts w:ascii="arial" w:eastAsia="arial" w:hAnsi="arial" w:cs="arial"/>
          <w:b w:val="0"/>
          <w:i w:val="0"/>
          <w:strike w:val="0"/>
          <w:noProof w:val="0"/>
          <w:color w:val="000000"/>
          <w:position w:val="0"/>
          <w:sz w:val="20"/>
          <w:u w:val="none"/>
          <w:vertAlign w:val="baseline"/>
        </w:rPr>
        <w:t xml:space="preserve">Thus, a court's decisions regarding the conduct of discovery will be disturbed only upon a showing of an abuse of discretion. </w:t>
      </w:r>
      <w:bookmarkStart w:id="16" w:name="Bookmark_I5RX17C52N1RGH0050000400"/>
      <w:bookmarkEnd w:id="16"/>
      <w:hyperlink r:id="rId11" w:history="1">
        <w:r>
          <w:rPr>
            <w:rFonts w:ascii="arial" w:eastAsia="arial" w:hAnsi="arial" w:cs="arial"/>
            <w:b w:val="0"/>
            <w:i/>
            <w:strike w:val="0"/>
            <w:noProof w:val="0"/>
            <w:color w:val="0077CC"/>
            <w:position w:val="0"/>
            <w:sz w:val="20"/>
            <w:u w:val="single"/>
            <w:vertAlign w:val="baseline"/>
          </w:rPr>
          <w:t>Marroquin-Manriquez v. I.N.S.</w:t>
        </w:r>
      </w:hyperlink>
      <w:hyperlink r:id="rId11" w:history="1">
        <w:r>
          <w:rPr>
            <w:rFonts w:ascii="arial" w:eastAsia="arial" w:hAnsi="arial" w:cs="arial"/>
            <w:b w:val="0"/>
            <w:i/>
            <w:strike w:val="0"/>
            <w:noProof w:val="0"/>
            <w:color w:val="0077CC"/>
            <w:position w:val="0"/>
            <w:sz w:val="20"/>
            <w:u w:val="single"/>
            <w:vertAlign w:val="baseline"/>
          </w:rPr>
          <w:t>, 699 F.2d 129, 134 (3d Cir. 1983)</w:t>
        </w:r>
      </w:hyperlink>
      <w:r>
        <w:rPr>
          <w:rFonts w:ascii="arial" w:eastAsia="arial" w:hAnsi="arial" w:cs="arial"/>
          <w:b w:val="0"/>
          <w:i w:val="0"/>
          <w:strike w:val="0"/>
          <w:noProof w:val="0"/>
          <w:color w:val="000000"/>
          <w:position w:val="0"/>
          <w:sz w:val="20"/>
          <w:u w:val="none"/>
          <w:vertAlign w:val="baseline"/>
        </w:rPr>
        <w:t xml:space="preserve">. This far-reaching discretion extends to rulings by United States Magistrate Judges on discovery matters. </w:t>
      </w:r>
      <w:bookmarkStart w:id="17" w:name="Bookmark_I5RX17C52HM62N0030000400"/>
      <w:bookmarkEnd w:id="17"/>
      <w:r>
        <w:rPr>
          <w:rFonts w:ascii="arial" w:eastAsia="arial" w:hAnsi="arial" w:cs="arial"/>
          <w:b w:val="0"/>
          <w:i w:val="0"/>
          <w:strike w:val="0"/>
          <w:noProof w:val="0"/>
          <w:color w:val="000000"/>
          <w:position w:val="0"/>
          <w:sz w:val="20"/>
          <w:u w:val="none"/>
          <w:vertAlign w:val="baseline"/>
        </w:rPr>
        <w:t>In this regard:</w:t>
      </w:r>
    </w:p>
    <w:p>
      <w:pPr>
        <w:keepNext w:val="0"/>
        <w:widowControl w:val="0"/>
        <w:spacing w:before="240" w:after="0" w:line="260" w:lineRule="atLeast"/>
        <w:ind w:left="400" w:right="0" w:firstLine="0"/>
        <w:jc w:val="both"/>
      </w:pPr>
      <w:bookmarkStart w:id="18" w:name="Bookmark_para_3"/>
      <w:bookmarkEnd w:id="18"/>
      <w:bookmarkStart w:id="19" w:name="Bookmark_I5RX17C52HM62N0030000400_2"/>
      <w:bookmarkEnd w:id="19"/>
      <w:bookmarkStart w:id="20" w:name="Bookmark_I5RX17C52HM62N0050000400"/>
      <w:bookmarkEnd w:id="20"/>
      <w:r>
        <w:rPr>
          <w:rFonts w:ascii="arial" w:eastAsia="arial" w:hAnsi="arial" w:cs="arial"/>
          <w:b w:val="0"/>
          <w:i w:val="0"/>
          <w:strike w:val="0"/>
          <w:noProof w:val="0"/>
          <w:color w:val="000000"/>
          <w:position w:val="0"/>
          <w:sz w:val="20"/>
          <w:u w:val="none"/>
          <w:vertAlign w:val="baseline"/>
        </w:rPr>
        <w:t xml:space="preserve">District courts provide magistrate judges with particularly broad discretion in resolving discovery disputes. </w:t>
      </w:r>
      <w:bookmarkStart w:id="21" w:name="Bookmark_I5RX17C52D6NBP0040000400"/>
      <w:bookmarkEnd w:id="21"/>
      <w:r>
        <w:rPr>
          <w:rFonts w:ascii="arial" w:eastAsia="arial" w:hAnsi="arial" w:cs="arial"/>
          <w:b w:val="0"/>
          <w:i w:val="0"/>
          <w:strike w:val="0"/>
          <w:noProof w:val="0"/>
          <w:color w:val="000000"/>
          <w:position w:val="0"/>
          <w:sz w:val="20"/>
          <w:u w:val="single"/>
          <w:vertAlign w:val="baseline"/>
        </w:rPr>
        <w:t xml:space="preserve">See </w:t>
      </w:r>
      <w:bookmarkStart w:id="22" w:name="Bookmark_I5RX17C52HM62N0020000400"/>
      <w:bookmarkEnd w:id="22"/>
      <w:hyperlink r:id="rId12" w:history="1">
        <w:r>
          <w:rPr>
            <w:rFonts w:ascii="arial" w:eastAsia="arial" w:hAnsi="arial" w:cs="arial"/>
            <w:b w:val="0"/>
            <w:i/>
            <w:strike w:val="0"/>
            <w:noProof w:val="0"/>
            <w:color w:val="0077CC"/>
            <w:position w:val="0"/>
            <w:sz w:val="20"/>
            <w:u w:val="single"/>
            <w:vertAlign w:val="baseline"/>
          </w:rPr>
          <w:t>Farmers &amp; Merchs. Nat'l Bank v. San Clemente Fin. Group Sec., Inc.</w:t>
        </w:r>
      </w:hyperlink>
      <w:hyperlink r:id="rId12" w:history="1">
        <w:r>
          <w:rPr>
            <w:rFonts w:ascii="arial" w:eastAsia="arial" w:hAnsi="arial" w:cs="arial"/>
            <w:b w:val="0"/>
            <w:i/>
            <w:strike w:val="0"/>
            <w:noProof w:val="0"/>
            <w:color w:val="0077CC"/>
            <w:position w:val="0"/>
            <w:sz w:val="20"/>
            <w:u w:val="single"/>
            <w:vertAlign w:val="baseline"/>
          </w:rPr>
          <w:t>, 174 F.R.D. 572, 585 (D.N.J.1997)</w:t>
        </w:r>
      </w:hyperlink>
      <w:r>
        <w:rPr>
          <w:rFonts w:ascii="arial" w:eastAsia="arial" w:hAnsi="arial" w:cs="arial"/>
          <w:b w:val="0"/>
          <w:i w:val="0"/>
          <w:strike w:val="0"/>
          <w:noProof w:val="0"/>
          <w:color w:val="000000"/>
          <w:position w:val="0"/>
          <w:sz w:val="20"/>
          <w:u w:val="none"/>
          <w:vertAlign w:val="baseline"/>
        </w:rPr>
        <w:t xml:space="preserve">. </w:t>
      </w:r>
      <w:bookmarkStart w:id="23" w:name="Bookmark_I5RX17C52D6NBP0040000400_2"/>
      <w:bookmarkEnd w:id="23"/>
      <w:bookmarkStart w:id="24" w:name="Bookmark_I5RX17C52HM62N0050000400_2"/>
      <w:bookmarkEnd w:id="24"/>
      <w:bookmarkStart w:id="25" w:name="Bookmark_I5RX17C52SF8G70050000400"/>
      <w:bookmarkEnd w:id="25"/>
      <w:r>
        <w:rPr>
          <w:rFonts w:ascii="arial" w:eastAsia="arial" w:hAnsi="arial" w:cs="arial"/>
          <w:b w:val="0"/>
          <w:i w:val="0"/>
          <w:strike w:val="0"/>
          <w:noProof w:val="0"/>
          <w:color w:val="000000"/>
          <w:position w:val="0"/>
          <w:sz w:val="20"/>
          <w:u w:val="none"/>
          <w:vertAlign w:val="baseline"/>
        </w:rPr>
        <w:t xml:space="preserve">When a magistrate judge's decision involves a discretionary [discovery] matter . . . , "courts in this district have determined that the clearly erroneous standard implicitly becomes an abuse of discretion standard." </w:t>
      </w:r>
      <w:bookmarkStart w:id="26" w:name="Bookmark_I5RX17C52HM62N0040000400"/>
      <w:bookmarkEnd w:id="26"/>
      <w:hyperlink r:id="rId13" w:history="1">
        <w:r>
          <w:rPr>
            <w:rFonts w:ascii="arial" w:eastAsia="arial" w:hAnsi="arial" w:cs="arial"/>
            <w:b w:val="0"/>
            <w:i/>
            <w:strike w:val="0"/>
            <w:noProof w:val="0"/>
            <w:color w:val="0077CC"/>
            <w:position w:val="0"/>
            <w:sz w:val="20"/>
            <w:u w:val="single"/>
            <w:vertAlign w:val="baseline"/>
          </w:rPr>
          <w:t>Saldi v. Paul Revere Life Ins. Co.</w:t>
        </w:r>
      </w:hyperlink>
      <w:hyperlink r:id="rId13" w:history="1">
        <w:r>
          <w:rPr>
            <w:rFonts w:ascii="arial" w:eastAsia="arial" w:hAnsi="arial" w:cs="arial"/>
            <w:b w:val="0"/>
            <w:i/>
            <w:strike w:val="0"/>
            <w:noProof w:val="0"/>
            <w:color w:val="0077CC"/>
            <w:position w:val="0"/>
            <w:sz w:val="20"/>
            <w:u w:val="single"/>
            <w:vertAlign w:val="baseline"/>
          </w:rPr>
          <w:t>, 224 F.R.D. 169, 174 (E.D.Pa.2004)</w:t>
        </w:r>
      </w:hyperlink>
      <w:r>
        <w:rPr>
          <w:rFonts w:ascii="arial" w:eastAsia="arial" w:hAnsi="arial" w:cs="arial"/>
          <w:b w:val="0"/>
          <w:i w:val="0"/>
          <w:strike w:val="0"/>
          <w:noProof w:val="0"/>
          <w:color w:val="000000"/>
          <w:position w:val="0"/>
          <w:sz w:val="20"/>
          <w:u w:val="none"/>
          <w:vertAlign w:val="baseline"/>
        </w:rPr>
        <w:t xml:space="preserve"> (citing </w:t>
      </w:r>
      <w:bookmarkStart w:id="27" w:name="Bookmark_I5RX17C52D6NBP0010000400"/>
      <w:bookmarkEnd w:id="27"/>
      <w:hyperlink r:id="rId14" w:history="1">
        <w:r>
          <w:rPr>
            <w:rFonts w:ascii="arial" w:eastAsia="arial" w:hAnsi="arial" w:cs="arial"/>
            <w:b w:val="0"/>
            <w:i/>
            <w:strike w:val="0"/>
            <w:noProof w:val="0"/>
            <w:color w:val="0077CC"/>
            <w:position w:val="0"/>
            <w:sz w:val="20"/>
            <w:u w:val="single"/>
            <w:vertAlign w:val="baseline"/>
          </w:rPr>
          <w:t>Scott Paper Co. v. United States</w:t>
        </w:r>
      </w:hyperlink>
      <w:hyperlink r:id="rId14" w:history="1">
        <w:r>
          <w:rPr>
            <w:rFonts w:ascii="arial" w:eastAsia="arial" w:hAnsi="arial" w:cs="arial"/>
            <w:b w:val="0"/>
            <w:i/>
            <w:strike w:val="0"/>
            <w:noProof w:val="0"/>
            <w:color w:val="0077CC"/>
            <w:position w:val="0"/>
            <w:sz w:val="20"/>
            <w:u w:val="single"/>
            <w:vertAlign w:val="baseline"/>
          </w:rPr>
          <w:t>, 943 F.Supp. 501, 502 (E.D.Pa.1996))</w:t>
        </w:r>
      </w:hyperlink>
      <w:r>
        <w:rPr>
          <w:rFonts w:ascii="arial" w:eastAsia="arial" w:hAnsi="arial" w:cs="arial"/>
          <w:b w:val="0"/>
          <w:i w:val="0"/>
          <w:strike w:val="0"/>
          <w:noProof w:val="0"/>
          <w:color w:val="000000"/>
          <w:position w:val="0"/>
          <w:sz w:val="20"/>
          <w:u w:val="none"/>
          <w:vertAlign w:val="baseline"/>
        </w:rPr>
        <w:t xml:space="preserve">. </w:t>
      </w:r>
      <w:bookmarkStart w:id="28" w:name="Bookmark_I5RX17C52SF8G70050000400_2"/>
      <w:bookmarkEnd w:id="28"/>
      <w:r>
        <w:rPr>
          <w:rFonts w:ascii="arial" w:eastAsia="arial" w:hAnsi="arial" w:cs="arial"/>
          <w:b w:val="0"/>
          <w:i w:val="0"/>
          <w:strike w:val="0"/>
          <w:noProof w:val="0"/>
          <w:color w:val="000000"/>
          <w:position w:val="0"/>
          <w:sz w:val="20"/>
          <w:u w:val="none"/>
          <w:vertAlign w:val="baseline"/>
        </w:rPr>
        <w:t xml:space="preserve">Under that standard, a magistrate judge's discovery ruling "is entitled to great deference and is reversible only for abuse of discretion." </w:t>
      </w:r>
      <w:bookmarkStart w:id="29" w:name="Bookmark_I5RX17C52D6NBP0030000400"/>
      <w:bookmarkEnd w:id="29"/>
      <w:hyperlink r:id="rId15" w:history="1">
        <w:r>
          <w:rPr>
            <w:rFonts w:ascii="arial" w:eastAsia="arial" w:hAnsi="arial" w:cs="arial"/>
            <w:b w:val="0"/>
            <w:i/>
            <w:strike w:val="0"/>
            <w:noProof w:val="0"/>
            <w:color w:val="0077CC"/>
            <w:position w:val="0"/>
            <w:sz w:val="20"/>
            <w:u w:val="single"/>
            <w:vertAlign w:val="baseline"/>
          </w:rPr>
          <w:t>Kresefsky v. Panasonic Communs. &amp; Sys. Co.</w:t>
        </w:r>
      </w:hyperlink>
      <w:hyperlink r:id="rId15" w:history="1">
        <w:r>
          <w:rPr>
            <w:rFonts w:ascii="arial" w:eastAsia="arial" w:hAnsi="arial" w:cs="arial"/>
            <w:b w:val="0"/>
            <w:i/>
            <w:strike w:val="0"/>
            <w:noProof w:val="0"/>
            <w:color w:val="0077CC"/>
            <w:position w:val="0"/>
            <w:sz w:val="20"/>
            <w:u w:val="single"/>
            <w:vertAlign w:val="baseline"/>
          </w:rPr>
          <w:t>, 169 F.R.D. 54, 64 (D.N.J.1996)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 w:name="Bookmark_I5RX17C52D6NBP0050000400"/>
      <w:bookmarkEnd w:id="30"/>
      <w:hyperlink r:id="rId16" w:history="1">
        <w:r>
          <w:rPr>
            <w:rFonts w:ascii="arial" w:eastAsia="arial" w:hAnsi="arial" w:cs="arial"/>
            <w:b w:val="0"/>
            <w:i/>
            <w:strike w:val="0"/>
            <w:noProof w:val="0"/>
            <w:color w:val="0077CC"/>
            <w:position w:val="0"/>
            <w:sz w:val="20"/>
            <w:u w:val="single"/>
            <w:vertAlign w:val="baseline"/>
          </w:rPr>
          <w:t>Hasbrouck v. BankAmerica Hous. Servs.</w:t>
        </w:r>
      </w:hyperlink>
      <w:hyperlink r:id="rId16" w:history="1">
        <w:r>
          <w:rPr>
            <w:rFonts w:ascii="arial" w:eastAsia="arial" w:hAnsi="arial" w:cs="arial"/>
            <w:b w:val="0"/>
            <w:i/>
            <w:strike w:val="0"/>
            <w:noProof w:val="0"/>
            <w:color w:val="0077CC"/>
            <w:position w:val="0"/>
            <w:sz w:val="20"/>
            <w:u w:val="single"/>
            <w:vertAlign w:val="baseline"/>
          </w:rPr>
          <w:t>, 190 F.R.D. 42, 44-45 (N.D.N.Y.1999)</w:t>
        </w:r>
      </w:hyperlink>
      <w:r>
        <w:rPr>
          <w:rFonts w:ascii="arial" w:eastAsia="arial" w:hAnsi="arial" w:cs="arial"/>
          <w:b w:val="0"/>
          <w:i w:val="0"/>
          <w:strike w:val="0"/>
          <w:noProof w:val="0"/>
          <w:color w:val="000000"/>
          <w:position w:val="0"/>
          <w:sz w:val="20"/>
          <w:u w:val="none"/>
          <w:vertAlign w:val="baseline"/>
        </w:rPr>
        <w:t xml:space="preserve"> (holding that discovery rulings are reviewed under abuse of discretion standard rather than de novo standard); </w:t>
      </w:r>
      <w:bookmarkStart w:id="31" w:name="Bookmark_I5RX17C52SF8G70020000400"/>
      <w:bookmarkEnd w:id="31"/>
      <w:hyperlink r:id="rId17" w:history="1">
        <w:r>
          <w:rPr>
            <w:rFonts w:ascii="arial" w:eastAsia="arial" w:hAnsi="arial" w:cs="arial"/>
            <w:b w:val="0"/>
            <w:i/>
            <w:strike w:val="0"/>
            <w:noProof w:val="0"/>
            <w:color w:val="0077CC"/>
            <w:position w:val="0"/>
            <w:sz w:val="20"/>
            <w:u w:val="single"/>
            <w:vertAlign w:val="baseline"/>
          </w:rPr>
          <w:t>EEOC v. Mr. Gold, Inc.</w:t>
        </w:r>
      </w:hyperlink>
      <w:hyperlink r:id="rId17" w:history="1">
        <w:r>
          <w:rPr>
            <w:rFonts w:ascii="arial" w:eastAsia="arial" w:hAnsi="arial" w:cs="arial"/>
            <w:b w:val="0"/>
            <w:i/>
            <w:strike w:val="0"/>
            <w:noProof w:val="0"/>
            <w:color w:val="0077CC"/>
            <w:position w:val="0"/>
            <w:sz w:val="20"/>
            <w:u w:val="single"/>
            <w:vertAlign w:val="baseline"/>
          </w:rPr>
          <w:t>, 223 F.R.D. 100, 102 (E.D.N.Y.2004)</w:t>
        </w:r>
      </w:hyperlink>
      <w:r>
        <w:rPr>
          <w:rFonts w:ascii="arial" w:eastAsia="arial" w:hAnsi="arial" w:cs="arial"/>
          <w:b w:val="0"/>
          <w:i w:val="0"/>
          <w:strike w:val="0"/>
          <w:noProof w:val="0"/>
          <w:color w:val="000000"/>
          <w:position w:val="0"/>
          <w:sz w:val="20"/>
          <w:u w:val="none"/>
          <w:vertAlign w:val="baseline"/>
        </w:rPr>
        <w:t xml:space="preserve"> (holding that a magistrate judge's resolution of discovery disputes deserves substantial deference and should be reversed only if there is an abuse of discretion).</w:t>
      </w:r>
    </w:p>
    <w:p>
      <w:pPr>
        <w:keepNext w:val="0"/>
        <w:widowControl w:val="0"/>
        <w:spacing w:before="240" w:after="0" w:line="260" w:lineRule="atLeast"/>
        <w:ind w:left="0" w:right="0" w:firstLine="0"/>
        <w:jc w:val="both"/>
      </w:pPr>
      <w:bookmarkStart w:id="32" w:name="Bookmark_I5RX17C52SF8G70050000400_3"/>
      <w:bookmarkEnd w:id="32"/>
      <w:bookmarkStart w:id="33" w:name="Bookmark_I5RX17C52SF8G70040000400"/>
      <w:bookmarkEnd w:id="33"/>
      <w:hyperlink r:id="rId18" w:history="1">
        <w:r>
          <w:rPr>
            <w:rFonts w:ascii="arial" w:eastAsia="arial" w:hAnsi="arial" w:cs="arial"/>
            <w:b w:val="0"/>
            <w:i/>
            <w:strike w:val="0"/>
            <w:color w:val="0077CC"/>
            <w:sz w:val="20"/>
            <w:u w:val="single"/>
            <w:vertAlign w:val="baseline"/>
          </w:rPr>
          <w:t>Halsey v. Pfeiffer</w:t>
        </w:r>
      </w:hyperlink>
      <w:hyperlink r:id="rId18" w:history="1">
        <w:r>
          <w:rPr>
            <w:rFonts w:ascii="arial" w:eastAsia="arial" w:hAnsi="arial" w:cs="arial"/>
            <w:b w:val="0"/>
            <w:i/>
            <w:strike w:val="0"/>
            <w:color w:val="0077CC"/>
            <w:sz w:val="20"/>
            <w:u w:val="single"/>
            <w:vertAlign w:val="baseline"/>
          </w:rPr>
          <w:t>, No. 09-1138, 2010 U.S. Dist. LEXIS 97590, 2010 WL 3735702, *1 (D.N.J. Sept. 17,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4"/>
      <w:bookmarkEnd w:id="34"/>
      <w:bookmarkStart w:id="35" w:name="Bookmark_I5RX17C52N1RGJ0020000400"/>
      <w:bookmarkEnd w:id="35"/>
      <w:r>
        <w:rPr>
          <w:rFonts w:ascii="arial" w:eastAsia="arial" w:hAnsi="arial" w:cs="arial"/>
          <w:b w:val="0"/>
          <w:i w:val="0"/>
          <w:strike w:val="0"/>
          <w:noProof w:val="0"/>
          <w:color w:val="000000"/>
          <w:position w:val="0"/>
          <w:sz w:val="20"/>
          <w:u w:val="none"/>
          <w:vertAlign w:val="baseline"/>
        </w:rPr>
        <w:t>We also note that our broad discretion over discovery matters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extends to decisions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relating to the issuance of protective orders limiting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timing of discovery. Indeed, it is undisputed that: " '[t]he grant and nature of [a protective order] is singularly within the discretion of the district court and may be reversed only on a clear showing of abuse of discretion.' </w:t>
      </w:r>
      <w:bookmarkStart w:id="36" w:name="Bookmark_I5RX17C52N1RGJ0010000400"/>
      <w:bookmarkEnd w:id="36"/>
      <w:r>
        <w:rPr>
          <w:rFonts w:ascii="arial" w:eastAsia="arial" w:hAnsi="arial" w:cs="arial"/>
          <w:b w:val="0"/>
          <w:i/>
          <w:strike w:val="0"/>
          <w:noProof w:val="0"/>
          <w:color w:val="000000"/>
          <w:position w:val="0"/>
          <w:sz w:val="20"/>
          <w:u w:val="single"/>
          <w:vertAlign w:val="baseline"/>
        </w:rPr>
        <w:t>Galella v. Onassis</w:t>
      </w:r>
      <w:r>
        <w:rPr>
          <w:rFonts w:ascii="arial" w:eastAsia="arial" w:hAnsi="arial" w:cs="arial"/>
          <w:b w:val="0"/>
          <w:i/>
          <w:strike w:val="0"/>
          <w:noProof w:val="0"/>
          <w:color w:val="000000"/>
          <w:position w:val="0"/>
          <w:sz w:val="20"/>
          <w:u w:val="none"/>
          <w:vertAlign w:val="baseline"/>
        </w:rPr>
        <w:t>, 487 F.2d 986, 997 (2d Cir.1973)</w:t>
      </w:r>
      <w:r>
        <w:rPr>
          <w:rFonts w:ascii="arial" w:eastAsia="arial" w:hAnsi="arial" w:cs="arial"/>
          <w:b w:val="0"/>
          <w:i w:val="0"/>
          <w:strike w:val="0"/>
          <w:noProof w:val="0"/>
          <w:color w:val="000000"/>
          <w:position w:val="0"/>
          <w:sz w:val="20"/>
          <w:u w:val="none"/>
          <w:vertAlign w:val="baseline"/>
        </w:rPr>
        <w:t xml:space="preserve"> (citation omitted)." </w:t>
      </w:r>
      <w:bookmarkStart w:id="37" w:name="Bookmark_I5RX17C52N1RGJ0030000400"/>
      <w:bookmarkEnd w:id="37"/>
      <w:hyperlink r:id="rId19" w:history="1">
        <w:r>
          <w:rPr>
            <w:rFonts w:ascii="arial" w:eastAsia="arial" w:hAnsi="arial" w:cs="arial"/>
            <w:b w:val="0"/>
            <w:i/>
            <w:strike w:val="0"/>
            <w:noProof w:val="0"/>
            <w:color w:val="0077CC"/>
            <w:position w:val="0"/>
            <w:sz w:val="20"/>
            <w:u w:val="single"/>
            <w:vertAlign w:val="baseline"/>
          </w:rPr>
          <w:t>Dove v. Atlantic Capital Corp.</w:t>
        </w:r>
      </w:hyperlink>
      <w:hyperlink r:id="rId19" w:history="1">
        <w:r>
          <w:rPr>
            <w:rFonts w:ascii="arial" w:eastAsia="arial" w:hAnsi="arial" w:cs="arial"/>
            <w:b w:val="0"/>
            <w:i/>
            <w:strike w:val="0"/>
            <w:noProof w:val="0"/>
            <w:color w:val="0077CC"/>
            <w:position w:val="0"/>
            <w:sz w:val="20"/>
            <w:u w:val="single"/>
            <w:vertAlign w:val="baseline"/>
          </w:rPr>
          <w:t>, 963 F.2d 15, 19 (2d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5"/>
      <w:bookmarkEnd w:id="38"/>
      <w:bookmarkStart w:id="39" w:name="Bookmark_I5RX17C528T45S0010000400"/>
      <w:bookmarkEnd w:id="39"/>
      <w:r>
        <w:rPr>
          <w:rFonts w:ascii="arial" w:eastAsia="arial" w:hAnsi="arial" w:cs="arial"/>
          <w:b w:val="0"/>
          <w:i w:val="0"/>
          <w:strike w:val="0"/>
          <w:noProof w:val="0"/>
          <w:color w:val="000000"/>
          <w:position w:val="0"/>
          <w:sz w:val="20"/>
          <w:u w:val="none"/>
          <w:vertAlign w:val="baseline"/>
        </w:rPr>
        <w:t xml:space="preserve">This discretion is guided, however, by certain basic principles. One of these cardinal principles, governing the exercise of discretion in this field, is that the district court may properly defer or delay discovery while it considers a potentially dispositive pretrial motion, provided the district court concludes that the pretrial motion does not, on its face, appear groundless. </w:t>
      </w:r>
      <w:r>
        <w:rPr>
          <w:rFonts w:ascii="arial" w:eastAsia="arial" w:hAnsi="arial" w:cs="arial"/>
          <w:b w:val="0"/>
          <w:i w:val="0"/>
          <w:strike w:val="0"/>
          <w:noProof w:val="0"/>
          <w:color w:val="000000"/>
          <w:position w:val="0"/>
          <w:sz w:val="20"/>
          <w:u w:val="single"/>
          <w:vertAlign w:val="baseline"/>
        </w:rPr>
        <w:t xml:space="preserve">See, e.g., </w:t>
      </w:r>
      <w:bookmarkStart w:id="40" w:name="Bookmark_I5RX17C52N1RGJ0050000400"/>
      <w:bookmarkEnd w:id="40"/>
      <w:hyperlink r:id="rId20" w:history="1">
        <w:r>
          <w:rPr>
            <w:rFonts w:ascii="arial" w:eastAsia="arial" w:hAnsi="arial" w:cs="arial"/>
            <w:b w:val="0"/>
            <w:i/>
            <w:strike w:val="0"/>
            <w:noProof w:val="0"/>
            <w:color w:val="0077CC"/>
            <w:position w:val="0"/>
            <w:sz w:val="20"/>
            <w:u w:val="single"/>
            <w:vertAlign w:val="baseline"/>
          </w:rPr>
          <w:t>James v. York County Police Dep't</w:t>
        </w:r>
      </w:hyperlink>
      <w:hyperlink r:id="rId20" w:history="1">
        <w:r>
          <w:rPr>
            <w:rFonts w:ascii="arial" w:eastAsia="arial" w:hAnsi="arial" w:cs="arial"/>
            <w:b w:val="0"/>
            <w:i/>
            <w:strike w:val="0"/>
            <w:noProof w:val="0"/>
            <w:color w:val="0077CC"/>
            <w:position w:val="0"/>
            <w:sz w:val="20"/>
            <w:u w:val="single"/>
            <w:vertAlign w:val="baseline"/>
          </w:rPr>
          <w:t>, 160 F.App'x 126, 136 (3d Cir. 2005)</w:t>
        </w:r>
      </w:hyperlink>
      <w:r>
        <w:rPr>
          <w:rFonts w:ascii="arial" w:eastAsia="arial" w:hAnsi="arial" w:cs="arial"/>
          <w:b w:val="0"/>
          <w:i w:val="0"/>
          <w:strike w:val="0"/>
          <w:noProof w:val="0"/>
          <w:color w:val="000000"/>
          <w:position w:val="0"/>
          <w:sz w:val="20"/>
          <w:u w:val="none"/>
          <w:vertAlign w:val="baseline"/>
        </w:rPr>
        <w:t xml:space="preserve">; </w:t>
      </w:r>
      <w:bookmarkStart w:id="41" w:name="Bookmark_I5RX17C528T45S0020000400"/>
      <w:bookmarkEnd w:id="41"/>
      <w:hyperlink r:id="rId21" w:history="1">
        <w:r>
          <w:rPr>
            <w:rFonts w:ascii="arial" w:eastAsia="arial" w:hAnsi="arial" w:cs="arial"/>
            <w:b w:val="0"/>
            <w:i/>
            <w:strike w:val="0"/>
            <w:noProof w:val="0"/>
            <w:color w:val="0077CC"/>
            <w:position w:val="0"/>
            <w:sz w:val="20"/>
            <w:u w:val="single"/>
            <w:vertAlign w:val="baseline"/>
          </w:rPr>
          <w:t>Nolan v. U.S. Dep't of Justice</w:t>
        </w:r>
      </w:hyperlink>
      <w:hyperlink r:id="rId21" w:history="1">
        <w:r>
          <w:rPr>
            <w:rFonts w:ascii="arial" w:eastAsia="arial" w:hAnsi="arial" w:cs="arial"/>
            <w:b w:val="0"/>
            <w:i/>
            <w:strike w:val="0"/>
            <w:noProof w:val="0"/>
            <w:color w:val="0077CC"/>
            <w:position w:val="0"/>
            <w:sz w:val="20"/>
            <w:u w:val="single"/>
            <w:vertAlign w:val="baseline"/>
          </w:rPr>
          <w:t>, 973 F.2d 843, 849 (10th Cir. 1992)</w:t>
        </w:r>
      </w:hyperlink>
      <w:r>
        <w:rPr>
          <w:rFonts w:ascii="arial" w:eastAsia="arial" w:hAnsi="arial" w:cs="arial"/>
          <w:b w:val="0"/>
          <w:i w:val="0"/>
          <w:strike w:val="0"/>
          <w:noProof w:val="0"/>
          <w:color w:val="000000"/>
          <w:position w:val="0"/>
          <w:sz w:val="20"/>
          <w:u w:val="none"/>
          <w:vertAlign w:val="baseline"/>
        </w:rPr>
        <w:t xml:space="preserve">; </w:t>
      </w:r>
      <w:bookmarkStart w:id="42" w:name="Bookmark_I5RX17C528T45S0040000400"/>
      <w:bookmarkEnd w:id="42"/>
      <w:hyperlink r:id="rId22" w:history="1">
        <w:r>
          <w:rPr>
            <w:rFonts w:ascii="arial" w:eastAsia="arial" w:hAnsi="arial" w:cs="arial"/>
            <w:b w:val="0"/>
            <w:i/>
            <w:strike w:val="0"/>
            <w:noProof w:val="0"/>
            <w:color w:val="0077CC"/>
            <w:position w:val="0"/>
            <w:sz w:val="20"/>
            <w:u w:val="single"/>
            <w:vertAlign w:val="baseline"/>
          </w:rPr>
          <w:t>Johnson v. New York Univ. Sch. of Ed.</w:t>
        </w:r>
      </w:hyperlink>
      <w:hyperlink r:id="rId22" w:history="1">
        <w:r>
          <w:rPr>
            <w:rFonts w:ascii="arial" w:eastAsia="arial" w:hAnsi="arial" w:cs="arial"/>
            <w:b w:val="0"/>
            <w:i/>
            <w:strike w:val="0"/>
            <w:noProof w:val="0"/>
            <w:color w:val="0077CC"/>
            <w:position w:val="0"/>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 Briefly deferring discovery in such a case, while the court determines the threshold issue of whether a complaint has sufficient merit to go forward, recognizes a simple, fundamental truth: Parties who file motions which may present potentially meritorious and complete legal defenses to civil actions should not be put to the time, expense and burden of factual discovery until after these claimed legal defenses are addressed by the court.</w:t>
      </w:r>
    </w:p>
    <w:p>
      <w:pPr>
        <w:keepNext w:val="0"/>
        <w:widowControl w:val="0"/>
        <w:spacing w:before="200" w:after="0" w:line="260" w:lineRule="atLeast"/>
        <w:ind w:left="0" w:right="0" w:firstLine="0"/>
        <w:jc w:val="both"/>
      </w:pPr>
      <w:bookmarkStart w:id="43" w:name="Bookmark_para_6"/>
      <w:bookmarkEnd w:id="43"/>
      <w:bookmarkStart w:id="44" w:name="Bookmark_I5RX17C52HM62P0020000400"/>
      <w:bookmarkEnd w:id="44"/>
      <w:bookmarkStart w:id="45" w:name="Bookmark_I5RX17C52SF8G80050000400"/>
      <w:bookmarkEnd w:id="45"/>
      <w:r>
        <w:rPr>
          <w:rFonts w:ascii="arial" w:eastAsia="arial" w:hAnsi="arial" w:cs="arial"/>
          <w:b w:val="0"/>
          <w:i w:val="0"/>
          <w:strike w:val="0"/>
          <w:noProof w:val="0"/>
          <w:color w:val="000000"/>
          <w:position w:val="0"/>
          <w:sz w:val="20"/>
          <w:u w:val="none"/>
          <w:vertAlign w:val="baseline"/>
        </w:rPr>
        <w:t>In such</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instances, it is clearly established that:</w:t>
      </w:r>
    </w:p>
    <w:p>
      <w:pPr>
        <w:keepNext w:val="0"/>
        <w:widowControl w:val="0"/>
        <w:spacing w:before="240" w:after="0" w:line="260" w:lineRule="atLeast"/>
        <w:ind w:left="400" w:right="0" w:firstLine="0"/>
        <w:jc w:val="both"/>
      </w:pPr>
      <w:bookmarkStart w:id="46" w:name="Bookmark_para_7"/>
      <w:bookmarkEnd w:id="46"/>
      <w:bookmarkStart w:id="47" w:name="Bookmark_I5RX17C52SF8G80050000400_2"/>
      <w:bookmarkEnd w:id="47"/>
      <w:bookmarkStart w:id="48" w:name="Bookmark_I5RX17C52HM62P0020000400_2"/>
      <w:bookmarkEnd w:id="48"/>
      <w:r>
        <w:rPr>
          <w:rFonts w:ascii="arial" w:eastAsia="arial" w:hAnsi="arial" w:cs="arial"/>
          <w:b w:val="0"/>
          <w:i w:val="0"/>
          <w:strike w:val="0"/>
          <w:noProof w:val="0"/>
          <w:color w:val="000000"/>
          <w:position w:val="0"/>
          <w:sz w:val="20"/>
          <w:u w:val="none"/>
          <w:vertAlign w:val="baseline"/>
        </w:rPr>
        <w:t xml:space="preserve">"[A] stay of discovery is appropriate pending resolution of a potentially dispositive motion where the motion 'appear[s] to have substantial grounds' or, stated another way, 'do[es] not appear to be without foundation in law.' " </w:t>
      </w:r>
      <w:bookmarkStart w:id="49" w:name="Bookmark_I5RX17C52HM62P0010000400"/>
      <w:bookmarkEnd w:id="49"/>
      <w:hyperlink r:id="rId23"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Litigation</w:t>
        </w:r>
      </w:hyperlink>
      <w:hyperlink r:id="rId23" w:history="1">
        <w:r>
          <w:rPr>
            <w:rFonts w:ascii="arial" w:eastAsia="arial" w:hAnsi="arial" w:cs="arial"/>
            <w:b w:val="0"/>
            <w:i/>
            <w:strike w:val="0"/>
            <w:noProof w:val="0"/>
            <w:color w:val="0077CC"/>
            <w:position w:val="0"/>
            <w:sz w:val="20"/>
            <w:u w:val="single"/>
            <w:vertAlign w:val="baseline"/>
          </w:rPr>
          <w:t>, 2002 U.S. Dist. LEXIS 974, 2002 WL 88278, at *1 (S.D.N.Y. Jan. 22,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50" w:name="Bookmark_I5RX17C52HM62P0030000400"/>
      <w:bookmarkEnd w:id="50"/>
      <w:hyperlink r:id="rId24" w:history="1">
        <w:r>
          <w:rPr>
            <w:rFonts w:ascii="arial" w:eastAsia="arial" w:hAnsi="arial" w:cs="arial"/>
            <w:b w:val="0"/>
            <w:i/>
            <w:strike w:val="0"/>
            <w:noProof w:val="0"/>
            <w:color w:val="0077CC"/>
            <w:position w:val="0"/>
            <w:sz w:val="20"/>
            <w:u w:val="single"/>
            <w:vertAlign w:val="baseline"/>
          </w:rPr>
          <w:t>Chrysler Capital Corp. v. Century Power Corp.</w:t>
        </w:r>
      </w:hyperlink>
      <w:hyperlink r:id="rId24" w:history="1">
        <w:r>
          <w:rPr>
            <w:rFonts w:ascii="arial" w:eastAsia="arial" w:hAnsi="arial" w:cs="arial"/>
            <w:b w:val="0"/>
            <w:i/>
            <w:strike w:val="0"/>
            <w:noProof w:val="0"/>
            <w:color w:val="0077CC"/>
            <w:position w:val="0"/>
            <w:sz w:val="20"/>
            <w:u w:val="single"/>
            <w:vertAlign w:val="baseline"/>
          </w:rPr>
          <w:t>, 137 F.R.D. 209, 209-10 (S.D.N.Y.1991))</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 xml:space="preserve">citing </w:t>
      </w:r>
      <w:bookmarkStart w:id="51" w:name="Bookmark_I5RX17C52HM62P0050000400"/>
      <w:bookmarkEnd w:id="51"/>
      <w:hyperlink r:id="rId25" w:history="1">
        <w:r>
          <w:rPr>
            <w:rFonts w:ascii="arial" w:eastAsia="arial" w:hAnsi="arial" w:cs="arial"/>
            <w:b w:val="0"/>
            <w:i/>
            <w:strike w:val="0"/>
            <w:noProof w:val="0"/>
            <w:color w:val="0077CC"/>
            <w:position w:val="0"/>
            <w:sz w:val="20"/>
            <w:u w:val="single"/>
            <w:vertAlign w:val="baseline"/>
          </w:rPr>
          <w:t>Flores v. Southern Peru Copper Corp.</w:t>
        </w:r>
      </w:hyperlink>
      <w:hyperlink r:id="rId25" w:history="1">
        <w:r>
          <w:rPr>
            <w:rFonts w:ascii="arial" w:eastAsia="arial" w:hAnsi="arial" w:cs="arial"/>
            <w:b w:val="0"/>
            <w:i/>
            <w:strike w:val="0"/>
            <w:noProof w:val="0"/>
            <w:color w:val="0077CC"/>
            <w:position w:val="0"/>
            <w:sz w:val="20"/>
            <w:u w:val="single"/>
            <w:vertAlign w:val="baseline"/>
          </w:rPr>
          <w:t>, 203 F.R.D. 92, 2001 WL 396422, at *2 (S.D.N.Y. Apr. 19, 2001)</w:t>
        </w:r>
      </w:hyperlink>
      <w:r>
        <w:rPr>
          <w:rFonts w:ascii="arial" w:eastAsia="arial" w:hAnsi="arial" w:cs="arial"/>
          <w:b w:val="0"/>
          <w:i w:val="0"/>
          <w:strike w:val="0"/>
          <w:noProof w:val="0"/>
          <w:color w:val="000000"/>
          <w:position w:val="0"/>
          <w:sz w:val="20"/>
          <w:u w:val="none"/>
          <w:vertAlign w:val="baseline"/>
        </w:rPr>
        <w:t xml:space="preserve">; </w:t>
      </w:r>
      <w:bookmarkStart w:id="52" w:name="Bookmark_I5RX17C52SF8G80020000400"/>
      <w:bookmarkEnd w:id="52"/>
      <w:hyperlink r:id="rId26" w:history="1">
        <w:r>
          <w:rPr>
            <w:rFonts w:ascii="arial" w:eastAsia="arial" w:hAnsi="arial" w:cs="arial"/>
            <w:b w:val="0"/>
            <w:i/>
            <w:strike w:val="0"/>
            <w:noProof w:val="0"/>
            <w:color w:val="0077CC"/>
            <w:position w:val="0"/>
            <w:sz w:val="20"/>
            <w:u w:val="single"/>
            <w:vertAlign w:val="baseline"/>
          </w:rPr>
          <w:t>Anti-Monopoly, Inc. v. Hasbro, Inc.</w:t>
        </w:r>
      </w:hyperlink>
      <w:hyperlink r:id="rId26" w:history="1">
        <w:r>
          <w:rPr>
            <w:rFonts w:ascii="arial" w:eastAsia="arial" w:hAnsi="arial" w:cs="arial"/>
            <w:b w:val="0"/>
            <w:i/>
            <w:strike w:val="0"/>
            <w:noProof w:val="0"/>
            <w:color w:val="0077CC"/>
            <w:position w:val="0"/>
            <w:sz w:val="20"/>
            <w:u w:val="single"/>
            <w:vertAlign w:val="baseline"/>
          </w:rPr>
          <w:t>, 1996 U.S. Dist. LEXIS 2684, 1996 WL 101277, at *2 (S.D.N.Y. March 7,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I5RX17C52SF8G80050000400_3"/>
      <w:bookmarkEnd w:id="53"/>
      <w:bookmarkStart w:id="54" w:name="Bookmark_I5RX17C52HM62P0020000400_3"/>
      <w:bookmarkEnd w:id="54"/>
      <w:bookmarkStart w:id="55" w:name="Bookmark_I5RX17C52SF8G80040000400"/>
      <w:bookmarkEnd w:id="55"/>
      <w:hyperlink r:id="rId22" w:history="1">
        <w:r>
          <w:rPr>
            <w:rFonts w:ascii="arial" w:eastAsia="arial" w:hAnsi="arial" w:cs="arial"/>
            <w:b w:val="0"/>
            <w:i/>
            <w:strike w:val="0"/>
            <w:color w:val="0077CC"/>
            <w:sz w:val="20"/>
            <w:u w:val="single"/>
            <w:vertAlign w:val="baseline"/>
          </w:rPr>
          <w:t>Johnson v. New York Univ. School of Educ.</w:t>
        </w:r>
      </w:hyperlink>
      <w:hyperlink r:id="rId22" w:history="1">
        <w:r>
          <w:rPr>
            <w:rFonts w:ascii="arial" w:eastAsia="arial" w:hAnsi="arial" w:cs="arial"/>
            <w:b w:val="0"/>
            <w:i/>
            <w:strike w:val="0"/>
            <w:color w:val="0077CC"/>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 w:name="Bookmark_para_8"/>
      <w:bookmarkEnd w:id="56"/>
      <w:bookmarkStart w:id="57" w:name="Bookmark_I5RX17C52D6NBR0020000400"/>
      <w:bookmarkEnd w:id="57"/>
      <w:r>
        <w:rPr>
          <w:rFonts w:ascii="arial" w:eastAsia="arial" w:hAnsi="arial" w:cs="arial"/>
          <w:b w:val="0"/>
          <w:i w:val="0"/>
          <w:strike w:val="0"/>
          <w:noProof w:val="0"/>
          <w:color w:val="000000"/>
          <w:position w:val="0"/>
          <w:sz w:val="20"/>
          <w:u w:val="none"/>
          <w:vertAlign w:val="baseline"/>
        </w:rPr>
        <w:t xml:space="preserve">Guided by these legal tenets we conclude that further discovery should be briefly stayed at this time until after the court resolves the pending motion to dismiss. We reach this conclusion in accordance with settled case law, finding that: "[A] stay of discovery is appropriate pending resolution of a potentially dispositive motion where the motion 'appear[s] to have substantial grounds' or, stated another way, 'do[es] not appear to be without foundation in law.'" </w:t>
      </w:r>
      <w:bookmarkStart w:id="58" w:name="Bookmark_I5RX17C52D6NBR0010000400"/>
      <w:bookmarkEnd w:id="58"/>
      <w:hyperlink r:id="rId22" w:history="1">
        <w:r>
          <w:rPr>
            <w:rFonts w:ascii="arial" w:eastAsia="arial" w:hAnsi="arial" w:cs="arial"/>
            <w:b w:val="0"/>
            <w:i/>
            <w:strike w:val="0"/>
            <w:noProof w:val="0"/>
            <w:color w:val="0077CC"/>
            <w:position w:val="0"/>
            <w:sz w:val="20"/>
            <w:u w:val="single"/>
            <w:vertAlign w:val="baseline"/>
          </w:rPr>
          <w:t>Johnson v. New York Univ. School of Educ.</w:t>
        </w:r>
      </w:hyperlink>
      <w:hyperlink r:id="rId22" w:history="1">
        <w:r>
          <w:rPr>
            <w:rFonts w:ascii="arial" w:eastAsia="arial" w:hAnsi="arial" w:cs="arial"/>
            <w:b w:val="0"/>
            <w:i/>
            <w:strike w:val="0"/>
            <w:noProof w:val="0"/>
            <w:color w:val="0077CC"/>
            <w:position w:val="0"/>
            <w:sz w:val="20"/>
            <w:u w:val="single"/>
            <w:vertAlign w:val="baseline"/>
          </w:rPr>
          <w:t>, 205 F.R.D. 433, 434 (S.D.N.Y.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9"/>
      <w:bookmarkEnd w:id="59"/>
      <w:r>
        <w:rPr>
          <w:rFonts w:ascii="arial" w:eastAsia="arial" w:hAnsi="arial" w:cs="arial"/>
          <w:b w:val="0"/>
          <w:i w:val="0"/>
          <w:strike w:val="0"/>
          <w:noProof w:val="0"/>
          <w:color w:val="000000"/>
          <w:position w:val="0"/>
          <w:sz w:val="20"/>
          <w:u w:val="none"/>
          <w:vertAlign w:val="baseline"/>
        </w:rPr>
        <w:t>An appropriate order will follow.</w:t>
      </w:r>
    </w:p>
    <w:p>
      <w:pPr>
        <w:keepNext w:val="0"/>
        <w:widowControl w:val="0"/>
        <w:spacing w:before="200" w:after="0" w:line="260" w:lineRule="atLeast"/>
        <w:ind w:left="0" w:right="0" w:firstLine="0"/>
        <w:jc w:val="both"/>
      </w:pPr>
      <w:bookmarkStart w:id="60" w:name="Bookmark_para_10"/>
      <w:bookmarkEnd w:id="60"/>
      <w:r>
        <w:rPr>
          <w:rFonts w:ascii="arial" w:eastAsia="arial" w:hAnsi="arial" w:cs="arial"/>
          <w:b w:val="0"/>
          <w:i w:val="0"/>
          <w:strike w:val="0"/>
          <w:noProof w:val="0"/>
          <w:color w:val="000000"/>
          <w:position w:val="0"/>
          <w:sz w:val="20"/>
          <w:u w:val="none"/>
          <w:vertAlign w:val="baseline"/>
        </w:rPr>
        <w:t>Date: February 21, 2018</w:t>
      </w:r>
    </w:p>
    <w:p>
      <w:pPr>
        <w:keepNext w:val="0"/>
        <w:widowControl w:val="0"/>
        <w:spacing w:before="200" w:after="0" w:line="260" w:lineRule="atLeast"/>
        <w:ind w:left="0" w:right="0" w:firstLine="0"/>
        <w:jc w:val="both"/>
      </w:pPr>
      <w:bookmarkStart w:id="61" w:name="Bookmark_para_11"/>
      <w:bookmarkEnd w:id="6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62" w:name="Bookmark_para_12"/>
      <w:bookmarkEnd w:id="62"/>
      <w:r>
        <w:rPr>
          <w:rFonts w:ascii="arial" w:eastAsia="arial" w:hAnsi="arial" w:cs="arial"/>
          <w:b w:val="0"/>
          <w:i/>
          <w:strike w:val="0"/>
          <w:noProof w:val="0"/>
          <w:color w:val="000000"/>
          <w:position w:val="0"/>
          <w:sz w:val="20"/>
          <w:u w:val="none"/>
          <w:vertAlign w:val="baseline"/>
        </w:rPr>
        <w:t>/s/ William I. Arbuckle</w:t>
      </w:r>
    </w:p>
    <w:p>
      <w:pPr>
        <w:keepNext w:val="0"/>
        <w:widowControl w:val="0"/>
        <w:spacing w:before="200" w:after="0" w:line="260" w:lineRule="atLeast"/>
        <w:ind w:left="0" w:right="0" w:firstLine="0"/>
        <w:jc w:val="both"/>
      </w:pPr>
      <w:bookmarkStart w:id="63" w:name="Bookmark_para_13"/>
      <w:bookmarkEnd w:id="63"/>
      <w:r>
        <w:rPr>
          <w:rFonts w:ascii="arial" w:eastAsia="arial" w:hAnsi="arial" w:cs="arial"/>
          <w:b w:val="0"/>
          <w:i w:val="0"/>
          <w:strike w:val="0"/>
          <w:noProof w:val="0"/>
          <w:color w:val="000000"/>
          <w:position w:val="0"/>
          <w:sz w:val="20"/>
          <w:u w:val="none"/>
          <w:vertAlign w:val="baseline"/>
        </w:rPr>
        <w:t>William I. Arbuckle</w:t>
      </w:r>
    </w:p>
    <w:p>
      <w:pPr>
        <w:keepNext w:val="0"/>
        <w:widowControl w:val="0"/>
        <w:spacing w:before="200" w:after="0" w:line="260" w:lineRule="atLeast"/>
        <w:ind w:left="0" w:right="0" w:firstLine="0"/>
        <w:jc w:val="both"/>
      </w:pPr>
      <w:bookmarkStart w:id="64" w:name="Bookmark_para_14"/>
      <w:bookmarkEnd w:id="64"/>
      <w:r>
        <w:rPr>
          <w:rFonts w:ascii="arial" w:eastAsia="arial" w:hAnsi="arial" w:cs="arial"/>
          <w:b w:val="0"/>
          <w:i w:val="0"/>
          <w:strike w:val="0"/>
          <w:noProof w:val="0"/>
          <w:color w:val="000000"/>
          <w:position w:val="0"/>
          <w:sz w:val="20"/>
          <w:u w:val="none"/>
          <w:vertAlign w:val="baseline"/>
        </w:rPr>
        <w:t>U.S. Magistrate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Simpson v. Harbilas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3S4X-CNV0-001B-K1JS-00000-00&amp;context=" TargetMode="External" /><Relationship Id="rId11" Type="http://schemas.openxmlformats.org/officeDocument/2006/relationships/hyperlink" Target="https://advance.lexis.com/api/document?collection=cases&amp;id=urn:contentItem:3S4X-0T00-003B-G3WJ-00000-00&amp;context=" TargetMode="External" /><Relationship Id="rId12" Type="http://schemas.openxmlformats.org/officeDocument/2006/relationships/hyperlink" Target="https://advance.lexis.com/api/document?collection=cases&amp;id=urn:contentItem:3S1X-M6K0-00B1-F3M0-00000-00&amp;context=" TargetMode="External" /><Relationship Id="rId13" Type="http://schemas.openxmlformats.org/officeDocument/2006/relationships/hyperlink" Target="https://advance.lexis.com/api/document?collection=cases&amp;id=urn:contentItem:4D4D-G3X0-0038-Y4M9-00000-00&amp;context=" TargetMode="External" /><Relationship Id="rId14" Type="http://schemas.openxmlformats.org/officeDocument/2006/relationships/hyperlink" Target="https://advance.lexis.com/api/document?collection=cases&amp;id=urn:contentItem:3S4M-6RT0-006F-P17G-00000-00&amp;context=" TargetMode="External" /><Relationship Id="rId15" Type="http://schemas.openxmlformats.org/officeDocument/2006/relationships/hyperlink" Target="https://advance.lexis.com/api/document?collection=cases&amp;id=urn:contentItem:3S4N-F4F0-006F-P0HY-00000-00&amp;context=" TargetMode="External" /><Relationship Id="rId16" Type="http://schemas.openxmlformats.org/officeDocument/2006/relationships/hyperlink" Target="https://advance.lexis.com/api/document?collection=cases&amp;id=urn:contentItem:3Y5J-FP90-0038-Y0R6-00000-00&amp;context=" TargetMode="External" /><Relationship Id="rId17" Type="http://schemas.openxmlformats.org/officeDocument/2006/relationships/hyperlink" Target="https://advance.lexis.com/api/document?collection=cases&amp;id=urn:contentItem:4CXJ-YXK0-0038-Y179-00000-00&amp;context=" TargetMode="External" /><Relationship Id="rId18" Type="http://schemas.openxmlformats.org/officeDocument/2006/relationships/hyperlink" Target="https://advance.lexis.com/api/document?collection=cases&amp;id=urn:contentItem:512C-JKF1-652J-900J-00000-00&amp;context=" TargetMode="External" /><Relationship Id="rId19" Type="http://schemas.openxmlformats.org/officeDocument/2006/relationships/hyperlink" Target="https://advance.lexis.com/api/document?collection=cases&amp;id=urn:contentItem:3S4X-44S0-008H-V3G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HS3-K3T0-0038-X4KK-00000-00&amp;context=" TargetMode="External" /><Relationship Id="rId21" Type="http://schemas.openxmlformats.org/officeDocument/2006/relationships/hyperlink" Target="https://advance.lexis.com/api/document?collection=cases&amp;id=urn:contentItem:3S4X-1PF0-008H-V0MH-00000-00&amp;context=" TargetMode="External" /><Relationship Id="rId22" Type="http://schemas.openxmlformats.org/officeDocument/2006/relationships/hyperlink" Target="https://advance.lexis.com/api/document?collection=cases&amp;id=urn:contentItem:4527-T1N0-0038-Y43B-00000-00&amp;context=" TargetMode="External" /><Relationship Id="rId23" Type="http://schemas.openxmlformats.org/officeDocument/2006/relationships/hyperlink" Target="https://advance.lexis.com/api/document?collection=cases&amp;id=urn:contentItem:450J-V7Y0-0038-Y379-00000-00&amp;context=" TargetMode="External" /><Relationship Id="rId24" Type="http://schemas.openxmlformats.org/officeDocument/2006/relationships/hyperlink" Target="https://advance.lexis.com/api/document?collection=cases&amp;id=urn:contentItem:3S4N-CJW0-001T-73HY-00000-00&amp;context=" TargetMode="External" /><Relationship Id="rId25" Type="http://schemas.openxmlformats.org/officeDocument/2006/relationships/hyperlink" Target="https://advance.lexis.com/api/document?collection=cases&amp;id=urn:contentItem:44YX-43N0-0038-Y2SH-00000-00&amp;context=" TargetMode="External" /><Relationship Id="rId26" Type="http://schemas.openxmlformats.org/officeDocument/2006/relationships/hyperlink" Target="https://advance.lexis.com/api/document?collection=cases&amp;id=urn:contentItem:3S4N-T1D0-006F-P1MF-00000-00&amp;context=" TargetMode="Externa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cases&amp;id=urn:contentItem:5RPJ-GPN1-JF1Y-B1VC-00000-00&amp;context=" TargetMode="External" /><Relationship Id="rId8" Type="http://schemas.openxmlformats.org/officeDocument/2006/relationships/hyperlink" Target="https://advance.lexis.com/api/document?collection=statutes-legislation&amp;id=urn:contentItem:8JDD-11V2-8T6X-7291-00000-00&amp;context=" TargetMode="External" /><Relationship Id="rId9" Type="http://schemas.openxmlformats.org/officeDocument/2006/relationships/hyperlink" Target="https://advance.lexis.com/api/document?collection=cases&amp;id=urn:contentItem:3S4W-T940-0039-X0V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 Irmat Drug Corp. v. Express Scripts Holding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71541714</vt:lpwstr>
  </property>
  <property fmtid="{D5CDD505-2E9C-101B-9397-08002B2CF9AE}" pid="3" name="LADocCount">
    <vt:lpwstr>1</vt:lpwstr>
  </property>
  <property fmtid="{D5CDD505-2E9C-101B-9397-08002B2CF9AE}" pid="4" name="UserPermID">
    <vt:lpwstr>urn:user:PA185916758</vt:lpwstr>
  </property>
</Properties>
</file>