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3:04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Stromberger v. Tampico Bevs.,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Ohio, Western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28,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1:16-cv-1117</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161565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JOSEPH R. STROMBERGER, Plaintiff, v. TAMPICO BEVERAGES, INC., Defendant.</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amended complaint, public policy, termination, violations, violate public policy, amend, wrongful termination, allegations, Pleadings, requirements, manifested,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Joseph R. Stromberger, Plaintiff: Jonathan Britton Allison, Randolph Harry Freking, LEAD ATTORNEYS, Freking Myers &amp; Reul LLC, Cincinnati,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Tampico Beverages Inc., Defendant: Tessa Leigh Castner, David A. Skidmore, Jr., Frost Brown Todd LLC, Cincinnati, Oh.</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 Michael R. Barrett,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Michael R. Barrett</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4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This matter is before the Court on: (1) Plaintiff's Motion for Leave to File First Amended Complaint with Jury Demand Endorsed Hereon ("Motion for Leave") (Doc. 14); and (2) Defendant's Motion for Judgment on the Pleadings ("</w:t>
      </w:r>
      <w:hyperlink r:id="rId9"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Motion") (Doc. 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BACKGROUND</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On November 1, 2016, Plaintiff Joseph Stromberger filed a Complaint for wrongful termination in violation of public policy in the Hamilton County Court of Common Pleas against Defendant Tampico Beverages, Inc. and Defendant Houchens Food Group, Inc. On December 2, 2016, the Complaint was removed to this Court. On December 8, 2016, Defendant Tampico Beverages, Inc. filed an answer, and Defendant Houchens Food Group, Inc. moved to dismiss. (Doc. 9). On January 19, 2017, the Parties agreed to the granting of the Motion to Dismiss as to Defendant Houchens Food Group, Inc., and the Court orally granted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same. Jan. 19, 2017 Minute Order.</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On February 14, 2017, Plaintiff filed his Motion for Leave to File First Amended Complaint with Jury Demand Endorsed Hereon. (Doc. 14). The Motion for Leave (Doc. 14) proffers an amended complaint that adds a claim for age discrimination (in addition to the existing claim for wrongful termination in violation of public policy), and alleges that on February 1, 2017 Plaintiff was granted a right to sue letter by the Equal Employment Opportunity Commission. (Doc. 14-1).</w:t>
      </w:r>
    </w:p>
    <w:p>
      <w:pPr>
        <w:keepNext w:val="0"/>
        <w:widowControl w:val="0"/>
        <w:spacing w:before="200" w:after="0" w:line="260" w:lineRule="atLeast"/>
        <w:ind w:left="0" w:right="0" w:firstLine="0"/>
        <w:jc w:val="both"/>
      </w:pPr>
      <w:bookmarkStart w:id="10" w:name="Bookmark_para_4"/>
      <w:bookmarkEnd w:id="10"/>
      <w:r>
        <w:rPr>
          <w:rFonts w:ascii="arial" w:eastAsia="arial" w:hAnsi="arial" w:cs="arial"/>
          <w:b w:val="0"/>
          <w:i w:val="0"/>
          <w:strike w:val="0"/>
          <w:noProof w:val="0"/>
          <w:color w:val="000000"/>
          <w:position w:val="0"/>
          <w:sz w:val="20"/>
          <w:u w:val="none"/>
          <w:vertAlign w:val="baseline"/>
        </w:rPr>
        <w:t xml:space="preserve">Despite an opportunity to do so, Defendant Tampico Beverages, Inc. has not opposed the Motion for Leave (Doc. 14). However, on February 14, 2017, Defendant Tampico Beverages, Inc. filed a Motion (Doc. 15) asking that this Court dismiss the wrongful termination claim in violation of public policy based on </w:t>
      </w:r>
      <w:hyperlink r:id="rId9" w:history="1">
        <w:r>
          <w:rPr>
            <w:rFonts w:ascii="arial" w:eastAsia="arial" w:hAnsi="arial" w:cs="arial"/>
            <w:b w:val="0"/>
            <w:i/>
            <w:strike w:val="0"/>
            <w:noProof w:val="0"/>
            <w:color w:val="0077CC"/>
            <w:position w:val="0"/>
            <w:sz w:val="20"/>
            <w:u w:val="single"/>
            <w:vertAlign w:val="baseline"/>
          </w:rPr>
          <w:t>Fed. R. Civ. P. 12(c)</w:t>
        </w:r>
      </w:hyperlink>
      <w:r>
        <w:rPr>
          <w:rFonts w:ascii="arial" w:eastAsia="arial" w:hAnsi="arial" w:cs="arial"/>
          <w:b w:val="0"/>
          <w:i w:val="0"/>
          <w:strike w:val="0"/>
          <w:noProof w:val="0"/>
          <w:color w:val="000000"/>
          <w:position w:val="0"/>
          <w:sz w:val="20"/>
          <w:u w:val="none"/>
          <w:vertAlign w:val="baseline"/>
        </w:rPr>
        <w:t xml:space="preserve">. Defendant Tampico Beverages, Inc. argues that the foregoing claim may not be premised on Plaintiff's allegations that he was terminated for complaining about violations of the Robinson-Patman Act, </w:t>
      </w:r>
      <w:hyperlink r:id="rId10" w:history="1">
        <w:r>
          <w:rPr>
            <w:rFonts w:ascii="arial" w:eastAsia="arial" w:hAnsi="arial" w:cs="arial"/>
            <w:b w:val="0"/>
            <w:i/>
            <w:strike w:val="0"/>
            <w:noProof w:val="0"/>
            <w:color w:val="0077CC"/>
            <w:position w:val="0"/>
            <w:sz w:val="20"/>
            <w:u w:val="single"/>
            <w:vertAlign w:val="baseline"/>
          </w:rPr>
          <w:t>15 U.S.C §13 et seq.</w:t>
        </w:r>
      </w:hyperlink>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Plaintiff asks this Court to deny the </w:t>
      </w:r>
      <w:hyperlink r:id="rId9"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Motion or, in the alternative, to stay this case pending the Supreme Court of Ohio's ruling in </w:t>
      </w:r>
      <w:r>
        <w:rPr>
          <w:rFonts w:ascii="arial" w:eastAsia="arial" w:hAnsi="arial" w:cs="arial"/>
          <w:b w:val="0"/>
          <w:i/>
          <w:strike w:val="0"/>
          <w:noProof w:val="0"/>
          <w:color w:val="000000"/>
          <w:position w:val="0"/>
          <w:sz w:val="20"/>
          <w:u w:val="none"/>
          <w:vertAlign w:val="baseline"/>
        </w:rPr>
        <w:t>McGowan v. Medpace, Inc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Motion for Leave to File First Amended Complaint with Jury Demand Endorsed Hereon (Doc. 14)</w:t>
      </w:r>
    </w:p>
    <w:p>
      <w:pPr>
        <w:keepNext w:val="0"/>
        <w:widowControl w:val="0"/>
        <w:spacing w:before="200" w:after="0" w:line="260" w:lineRule="atLeast"/>
        <w:ind w:left="0" w:right="0" w:firstLine="0"/>
        <w:jc w:val="both"/>
      </w:pPr>
      <w:bookmarkStart w:id="12" w:name="Bookmark_para_5"/>
      <w:bookmarkEnd w:id="12"/>
      <w:bookmarkStart w:id="13" w:name="Bookmark_I5PT96972D6NJ40020000400"/>
      <w:bookmarkEnd w:id="13"/>
      <w:bookmarkStart w:id="14" w:name="Bookmark_I5PT96972D6NJ40040000400"/>
      <w:bookmarkEnd w:id="14"/>
      <w:bookmarkStart w:id="15" w:name="Bookmark_I5PT96972HM6830010000400"/>
      <w:bookmarkEnd w:id="15"/>
      <w:r>
        <w:rPr>
          <w:rFonts w:ascii="arial" w:eastAsia="arial" w:hAnsi="arial" w:cs="arial"/>
          <w:b w:val="0"/>
          <w:i w:val="0"/>
          <w:strike w:val="0"/>
          <w:noProof w:val="0"/>
          <w:color w:val="000000"/>
          <w:position w:val="0"/>
          <w:sz w:val="20"/>
          <w:u w:val="none"/>
          <w:vertAlign w:val="baseline"/>
        </w:rPr>
        <w:t xml:space="preserve">"Under </w:t>
      </w:r>
      <w:hyperlink r:id="rId11" w:history="1">
        <w:r>
          <w:rPr>
            <w:rFonts w:ascii="arial" w:eastAsia="arial" w:hAnsi="arial" w:cs="arial"/>
            <w:b w:val="0"/>
            <w:i/>
            <w:strike w:val="0"/>
            <w:noProof w:val="0"/>
            <w:color w:val="0077CC"/>
            <w:position w:val="0"/>
            <w:sz w:val="20"/>
            <w:u w:val="single"/>
            <w:vertAlign w:val="baseline"/>
          </w:rPr>
          <w:t>Rule 15(a)(1)</w:t>
        </w:r>
      </w:hyperlink>
      <w:r>
        <w:rPr>
          <w:rFonts w:ascii="arial" w:eastAsia="arial" w:hAnsi="arial" w:cs="arial"/>
          <w:b w:val="0"/>
          <w:i w:val="0"/>
          <w:strike w:val="0"/>
          <w:noProof w:val="0"/>
          <w:color w:val="000000"/>
          <w:position w:val="0"/>
          <w:sz w:val="20"/>
          <w:u w:val="none"/>
          <w:vertAlign w:val="baseline"/>
        </w:rPr>
        <w:t xml:space="preserve">, a party may amend the complaint once as a matter of course before being served with a responsive pleading." </w:t>
      </w:r>
      <w:bookmarkStart w:id="16" w:name="Bookmark_I5PT96972D6NJ40010000400"/>
      <w:bookmarkEnd w:id="16"/>
      <w:hyperlink r:id="rId12" w:history="1">
        <w:r>
          <w:rPr>
            <w:rFonts w:ascii="arial" w:eastAsia="arial" w:hAnsi="arial" w:cs="arial"/>
            <w:b w:val="0"/>
            <w:i/>
            <w:strike w:val="0"/>
            <w:noProof w:val="0"/>
            <w:color w:val="0077CC"/>
            <w:position w:val="0"/>
            <w:sz w:val="20"/>
            <w:u w:val="single"/>
            <w:vertAlign w:val="baseline"/>
          </w:rPr>
          <w:t>Broyles v. Correctional Medical Serv., Inc</w:t>
        </w:r>
      </w:hyperlink>
      <w:hyperlink r:id="rId12" w:history="1">
        <w:r>
          <w:rPr>
            <w:rFonts w:ascii="arial" w:eastAsia="arial" w:hAnsi="arial" w:cs="arial"/>
            <w:b w:val="0"/>
            <w:i/>
            <w:strike w:val="0"/>
            <w:noProof w:val="0"/>
            <w:color w:val="0077CC"/>
            <w:position w:val="0"/>
            <w:sz w:val="20"/>
            <w:u w:val="single"/>
            <w:vertAlign w:val="baseline"/>
          </w:rPr>
          <w:t>., No. 08-1638, 2009 U.S. App. LEXIS 5494, at *8 (6th Cir.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Accord</w:t>
      </w:r>
      <w:r>
        <w:rPr>
          <w:rFonts w:ascii="arial" w:eastAsia="arial" w:hAnsi="arial" w:cs="arial"/>
          <w:b w:val="0"/>
          <w:i w:val="0"/>
          <w:strike w:val="0"/>
          <w:noProof w:val="0"/>
          <w:color w:val="000000"/>
          <w:position w:val="0"/>
          <w:sz w:val="20"/>
          <w:u w:val="none"/>
          <w:vertAlign w:val="baseline"/>
        </w:rPr>
        <w:t xml:space="preserve">: </w:t>
      </w:r>
      <w:bookmarkStart w:id="17" w:name="Bookmark_I5PT96972D6NJ40030000400"/>
      <w:bookmarkEnd w:id="17"/>
      <w:hyperlink r:id="rId13" w:history="1">
        <w:r>
          <w:rPr>
            <w:rFonts w:ascii="arial" w:eastAsia="arial" w:hAnsi="arial" w:cs="arial"/>
            <w:b w:val="0"/>
            <w:i/>
            <w:strike w:val="0"/>
            <w:noProof w:val="0"/>
            <w:color w:val="0077CC"/>
            <w:position w:val="0"/>
            <w:sz w:val="20"/>
            <w:u w:val="single"/>
            <w:vertAlign w:val="baseline"/>
          </w:rPr>
          <w:t>Pertuso v. Ford Motor Credit Co.</w:t>
        </w:r>
      </w:hyperlink>
      <w:hyperlink r:id="rId13" w:history="1">
        <w:r>
          <w:rPr>
            <w:rFonts w:ascii="arial" w:eastAsia="arial" w:hAnsi="arial" w:cs="arial"/>
            <w:b w:val="0"/>
            <w:i/>
            <w:strike w:val="0"/>
            <w:noProof w:val="0"/>
            <w:color w:val="0077CC"/>
            <w:position w:val="0"/>
            <w:sz w:val="20"/>
            <w:u w:val="single"/>
            <w:vertAlign w:val="baseline"/>
          </w:rPr>
          <w:t>, 233 F.3d 417, 421 (6th Cir. 2000)</w:t>
        </w:r>
      </w:hyperlink>
      <w:r>
        <w:rPr>
          <w:rFonts w:ascii="arial" w:eastAsia="arial" w:hAnsi="arial" w:cs="arial"/>
          <w:b w:val="0"/>
          <w:i w:val="0"/>
          <w:strike w:val="0"/>
          <w:noProof w:val="0"/>
          <w:color w:val="000000"/>
          <w:position w:val="0"/>
          <w:sz w:val="20"/>
          <w:u w:val="none"/>
          <w:vertAlign w:val="baseline"/>
        </w:rPr>
        <w:t xml:space="preserve">. The Sixth Circuit has described this Rule as giving plaintiffs an "absolute right to amend." </w:t>
      </w:r>
      <w:bookmarkStart w:id="18" w:name="Bookmark_I5PT96972D6NJ40050000400"/>
      <w:bookmarkEnd w:id="18"/>
      <w:hyperlink r:id="rId13" w:history="1">
        <w:r>
          <w:rPr>
            <w:rFonts w:ascii="arial" w:eastAsia="arial" w:hAnsi="arial" w:cs="arial"/>
            <w:b w:val="0"/>
            <w:i/>
            <w:strike w:val="0"/>
            <w:noProof w:val="0"/>
            <w:color w:val="0077CC"/>
            <w:position w:val="0"/>
            <w:sz w:val="20"/>
            <w:u w:val="single"/>
            <w:vertAlign w:val="baseline"/>
          </w:rPr>
          <w:t>Pertuso</w:t>
        </w:r>
      </w:hyperlink>
      <w:hyperlink r:id="rId13" w:history="1">
        <w:r>
          <w:rPr>
            <w:rFonts w:ascii="arial" w:eastAsia="arial" w:hAnsi="arial" w:cs="arial"/>
            <w:b w:val="0"/>
            <w:i/>
            <w:strike w:val="0"/>
            <w:noProof w:val="0"/>
            <w:color w:val="0077CC"/>
            <w:position w:val="0"/>
            <w:sz w:val="20"/>
            <w:u w:val="single"/>
            <w:vertAlign w:val="baseline"/>
          </w:rPr>
          <w:t>, 233 F.3d at 421</w:t>
        </w:r>
      </w:hyperlink>
      <w:r>
        <w:rPr>
          <w:rFonts w:ascii="arial" w:eastAsia="arial" w:hAnsi="arial" w:cs="arial"/>
          <w:b w:val="0"/>
          <w:i w:val="0"/>
          <w:strike w:val="0"/>
          <w:noProof w:val="0"/>
          <w:color w:val="000000"/>
          <w:position w:val="0"/>
          <w:sz w:val="20"/>
          <w:u w:val="none"/>
          <w:vertAlign w:val="baseline"/>
        </w:rPr>
        <w:t xml:space="preserve">. </w:t>
      </w:r>
      <w:bookmarkStart w:id="19" w:name="Bookmark_I705PY2H70D0009MWN200003"/>
      <w:bookmarkEnd w:id="19"/>
      <w:bookmarkStart w:id="20" w:name="Bookmark_I705PY2HD380009MWN200004"/>
      <w:bookmarkEnd w:id="20"/>
      <w:bookmarkStart w:id="21" w:name="Bookmark_I5PT96972HM6830030000400"/>
      <w:bookmarkEnd w:id="21"/>
      <w:r>
        <w:rPr>
          <w:rFonts w:ascii="arial" w:eastAsia="arial" w:hAnsi="arial" w:cs="arial"/>
          <w:b w:val="0"/>
          <w:i w:val="0"/>
          <w:strike w:val="0"/>
          <w:noProof w:val="0"/>
          <w:color w:val="000000"/>
          <w:position w:val="0"/>
          <w:sz w:val="20"/>
          <w:u w:val="none"/>
          <w:vertAlign w:val="baseline"/>
        </w:rPr>
        <w:t xml:space="preserve">However, where a responsive pleading has been filed, "a party may amend its pleading only with the opposing party's written consent or the court's leave." </w:t>
      </w:r>
      <w:hyperlink r:id="rId11" w:history="1">
        <w:r>
          <w:rPr>
            <w:rFonts w:ascii="arial" w:eastAsia="arial" w:hAnsi="arial" w:cs="arial"/>
            <w:b w:val="0"/>
            <w:i/>
            <w:strike w:val="0"/>
            <w:noProof w:val="0"/>
            <w:color w:val="0077CC"/>
            <w:position w:val="0"/>
            <w:sz w:val="20"/>
            <w:u w:val="single"/>
            <w:vertAlign w:val="baseline"/>
          </w:rPr>
          <w:t>Fed. R. Civ. P. 15(a)(2)</w:t>
        </w:r>
      </w:hyperlink>
      <w:r>
        <w:rPr>
          <w:rFonts w:ascii="arial" w:eastAsia="arial" w:hAnsi="arial" w:cs="arial"/>
          <w:b w:val="0"/>
          <w:i w:val="0"/>
          <w:strike w:val="0"/>
          <w:noProof w:val="0"/>
          <w:color w:val="000000"/>
          <w:position w:val="0"/>
          <w:sz w:val="20"/>
          <w:u w:val="none"/>
          <w:vertAlign w:val="baseline"/>
        </w:rPr>
        <w:t xml:space="preserve">. The "[C]ourt should freely give leave when justice so requires[.]"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the foregoing rule provides that leave to amend may be denied for: (1) undue delay, (2) lack of notice to the opposing party, (3) bad faith, (4) repeated failure to cure in prior amendments, (5) prejudice to the opposing party, or (6) futility of the amendments. </w:t>
      </w:r>
      <w:bookmarkStart w:id="22" w:name="Bookmark_I5PT96972HM6830020000400"/>
      <w:bookmarkEnd w:id="22"/>
      <w:hyperlink r:id="rId14" w:history="1">
        <w:r>
          <w:rPr>
            <w:rFonts w:ascii="arial" w:eastAsia="arial" w:hAnsi="arial" w:cs="arial"/>
            <w:b w:val="0"/>
            <w:i/>
            <w:strike w:val="0"/>
            <w:noProof w:val="0"/>
            <w:color w:val="0077CC"/>
            <w:position w:val="0"/>
            <w:sz w:val="20"/>
            <w:u w:val="single"/>
            <w:vertAlign w:val="baseline"/>
          </w:rPr>
          <w:t>Foman v. Davis</w:t>
        </w:r>
      </w:hyperlink>
      <w:hyperlink r:id="rId14" w:history="1">
        <w:r>
          <w:rPr>
            <w:rFonts w:ascii="arial" w:eastAsia="arial" w:hAnsi="arial" w:cs="arial"/>
            <w:b w:val="0"/>
            <w:i/>
            <w:strike w:val="0"/>
            <w:noProof w:val="0"/>
            <w:color w:val="0077CC"/>
            <w:position w:val="0"/>
            <w:sz w:val="20"/>
            <w:u w:val="single"/>
            <w:vertAlign w:val="baseline"/>
          </w:rPr>
          <w:t>, 371 U.S. 178, 182, 83 S.Ct. 227, 9 L.Ed.2d 222 (1962)</w:t>
        </w:r>
      </w:hyperlink>
      <w:r>
        <w:rPr>
          <w:rFonts w:ascii="arial" w:eastAsia="arial" w:hAnsi="arial" w:cs="arial"/>
          <w:b w:val="0"/>
          <w:i w:val="0"/>
          <w:strike w:val="0"/>
          <w:noProof w:val="0"/>
          <w:color w:val="000000"/>
          <w:position w:val="0"/>
          <w:sz w:val="20"/>
          <w:u w:val="none"/>
          <w:vertAlign w:val="baseline"/>
        </w:rPr>
        <w:t xml:space="preserve">; </w:t>
      </w:r>
      <w:bookmarkStart w:id="23" w:name="Bookmark_I5PT96972HM6830040000400"/>
      <w:bookmarkEnd w:id="23"/>
      <w:r>
        <w:rPr>
          <w:rFonts w:ascii="arial" w:eastAsia="arial" w:hAnsi="arial" w:cs="arial"/>
          <w:b w:val="0"/>
          <w:i/>
          <w:strike w:val="0"/>
          <w:noProof w:val="0"/>
          <w:color w:val="000000"/>
          <w:position w:val="0"/>
          <w:sz w:val="20"/>
          <w:u w:val="none"/>
          <w:vertAlign w:val="baseline"/>
        </w:rPr>
        <w:t>Perkins v. American Elec. Power Fuel Supply, Inc</w:t>
      </w:r>
      <w:r>
        <w:rPr>
          <w:rFonts w:ascii="arial" w:eastAsia="arial" w:hAnsi="arial" w:cs="arial"/>
          <w:b w:val="0"/>
          <w:i/>
          <w:strike w:val="0"/>
          <w:noProof w:val="0"/>
          <w:color w:val="000000"/>
          <w:position w:val="0"/>
          <w:sz w:val="20"/>
          <w:u w:val="none"/>
          <w:vertAlign w:val="baseline"/>
        </w:rPr>
        <w:t>., 246 F.3d 593, 605 (6th Cir. 2001)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 w:name="Bookmark_para_6"/>
      <w:bookmarkEnd w:id="24"/>
      <w:r>
        <w:rPr>
          <w:rFonts w:ascii="arial" w:eastAsia="arial" w:hAnsi="arial" w:cs="arial"/>
          <w:b w:val="0"/>
          <w:i w:val="0"/>
          <w:strike w:val="0"/>
          <w:noProof w:val="0"/>
          <w:color w:val="000000"/>
          <w:position w:val="0"/>
          <w:sz w:val="20"/>
          <w:u w:val="none"/>
          <w:vertAlign w:val="baseline"/>
        </w:rPr>
        <w:t xml:space="preserve">Here, Plaintiff sought leave to add the age discrimination claim shortly after the EEOC granted him a right to sue letter, which is a prerequisite to bringing a federal claim of age discrimination. (Doc. 14; PageID# 100). No facts before the Court suggest that amendment would cause undue delay, or otherwise run afoul of </w:t>
      </w:r>
      <w:hyperlink r:id="rId11"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Indeed, Defendant Tampico Beverages, Inc. has not opposed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amendment. The Motion for Leave (Doc. 14) is therefore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and the proffered First Amended Complaint with Jury Demand Endorsed Hereon ("First Amended Complaint") (Doc. 14-1) is deemed filed as of this date.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Defendant's </w:t>
      </w:r>
      <w:hyperlink r:id="rId9" w:history="1">
        <w:r>
          <w:rPr>
            <w:rFonts w:ascii="arial" w:eastAsia="arial" w:hAnsi="arial" w:cs="arial"/>
            <w:b/>
            <w:i/>
            <w:strike w:val="0"/>
            <w:noProof w:val="0"/>
            <w:color w:val="0077CC"/>
            <w:position w:val="0"/>
            <w:sz w:val="20"/>
            <w:u w:val="single"/>
            <w:vertAlign w:val="baseline"/>
          </w:rPr>
          <w:t>Rule 12(c)</w:t>
        </w:r>
      </w:hyperlink>
      <w:r>
        <w:rPr>
          <w:rFonts w:ascii="arial" w:eastAsia="arial" w:hAnsi="arial" w:cs="arial"/>
          <w:b/>
          <w:i w:val="0"/>
          <w:strike w:val="0"/>
          <w:noProof w:val="0"/>
          <w:color w:val="000000"/>
          <w:position w:val="0"/>
          <w:sz w:val="20"/>
          <w:u w:val="none"/>
          <w:vertAlign w:val="baseline"/>
        </w:rPr>
        <w:t xml:space="preserve"> Motion (Doc. 15)</w:t>
      </w:r>
    </w:p>
    <w:p>
      <w:pPr>
        <w:keepNext w:val="0"/>
        <w:widowControl w:val="0"/>
        <w:spacing w:before="240" w:after="0" w:line="260" w:lineRule="atLeast"/>
        <w:ind w:left="0" w:right="0" w:firstLine="0"/>
        <w:jc w:val="both"/>
      </w:pPr>
      <w:bookmarkStart w:id="25" w:name="Bookmark_para_7"/>
      <w:bookmarkEnd w:id="25"/>
      <w:r>
        <w:rPr>
          <w:rFonts w:ascii="arial" w:eastAsia="arial" w:hAnsi="arial" w:cs="arial"/>
          <w:b w:val="0"/>
          <w:i w:val="0"/>
          <w:strike w:val="0"/>
          <w:noProof w:val="0"/>
          <w:color w:val="000000"/>
          <w:position w:val="0"/>
          <w:sz w:val="20"/>
          <w:u w:val="none"/>
          <w:vertAlign w:val="baseline"/>
        </w:rPr>
        <w:t xml:space="preserve">An order granting a motion for leave to amend normally moots pending motions directed to the pleadings; however, Defendant Tampico Beverages, Inc. asserts that the "arguments set forth" in its </w:t>
      </w:r>
      <w:hyperlink r:id="rId9"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Motion (Doc. 15) "are equally applicable to Plaintiff's First Amended Complaint, which remains subject to Plaintiff's Motion for Leave to File said Amended Complaint." (Doc. 15; PageID# 109). Ultimately, any portion of the Motion (Doc. 15) that relates to the original complaint (Doc. 1-3) is </w:t>
      </w:r>
      <w:r>
        <w:rPr>
          <w:rFonts w:ascii="arial" w:eastAsia="arial" w:hAnsi="arial" w:cs="arial"/>
          <w:b/>
          <w:i w:val="0"/>
          <w:strike w:val="0"/>
          <w:noProof w:val="0"/>
          <w:color w:val="000000"/>
          <w:position w:val="0"/>
          <w:sz w:val="20"/>
          <w:u w:val="none"/>
          <w:vertAlign w:val="baseline"/>
        </w:rPr>
        <w:t>DENIED AS MOOT</w:t>
      </w:r>
      <w:r>
        <w:rPr>
          <w:rFonts w:ascii="arial" w:eastAsia="arial" w:hAnsi="arial" w:cs="arial"/>
          <w:b w:val="0"/>
          <w:i w:val="0"/>
          <w:strike w:val="0"/>
          <w:noProof w:val="0"/>
          <w:color w:val="000000"/>
          <w:position w:val="0"/>
          <w:sz w:val="20"/>
          <w:u w:val="none"/>
          <w:vertAlign w:val="baseline"/>
        </w:rPr>
        <w:t xml:space="preserve">. However, the First Amended Complaint (Doc. 14-1) is deemed filed as of this date, so the Court will address Defendant's </w:t>
      </w:r>
      <w:hyperlink r:id="rId9"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Motion (Doc. 15) as it relates to the First Amended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Standard</w:t>
      </w:r>
    </w:p>
    <w:p>
      <w:pPr>
        <w:keepNext w:val="0"/>
        <w:widowControl w:val="0"/>
        <w:spacing w:before="240" w:after="0" w:line="260" w:lineRule="atLeast"/>
        <w:ind w:left="0" w:right="0" w:firstLine="0"/>
        <w:jc w:val="both"/>
      </w:pPr>
      <w:bookmarkStart w:id="26" w:name="Bookmark_para_8"/>
      <w:bookmarkEnd w:id="26"/>
      <w:bookmarkStart w:id="27" w:name="Bookmark_I5PT969728T4T40020000400"/>
      <w:bookmarkEnd w:id="27"/>
      <w:bookmarkStart w:id="28" w:name="Bookmark_I705PY2HK640009MWN200005"/>
      <w:bookmarkEnd w:id="28"/>
      <w:bookmarkStart w:id="29" w:name="Bookmark_I705PY2HS900009MWN200006"/>
      <w:bookmarkEnd w:id="29"/>
      <w:bookmarkStart w:id="30" w:name="Bookmark_I5PT96972D6NJ50010000400"/>
      <w:bookmarkEnd w:id="30"/>
      <w:r>
        <w:rPr>
          <w:rFonts w:ascii="arial" w:eastAsia="arial" w:hAnsi="arial" w:cs="arial"/>
          <w:b w:val="0"/>
          <w:i w:val="0"/>
          <w:strike w:val="0"/>
          <w:noProof w:val="0"/>
          <w:color w:val="000000"/>
          <w:position w:val="0"/>
          <w:sz w:val="20"/>
          <w:u w:val="none"/>
          <w:vertAlign w:val="baseline"/>
        </w:rPr>
        <w:t xml:space="preserve">A motion for judgment on the pleadings under </w:t>
      </w:r>
      <w:hyperlink r:id="rId9" w:history="1">
        <w:r>
          <w:rPr>
            <w:rFonts w:ascii="arial" w:eastAsia="arial" w:hAnsi="arial" w:cs="arial"/>
            <w:b w:val="0"/>
            <w:i/>
            <w:strike w:val="0"/>
            <w:noProof w:val="0"/>
            <w:color w:val="0077CC"/>
            <w:position w:val="0"/>
            <w:sz w:val="20"/>
            <w:u w:val="single"/>
            <w:vertAlign w:val="baseline"/>
          </w:rPr>
          <w:t>Federal Rule of Civil Procedure 12(c)</w:t>
        </w:r>
      </w:hyperlink>
      <w:r>
        <w:rPr>
          <w:rFonts w:ascii="arial" w:eastAsia="arial" w:hAnsi="arial" w:cs="arial"/>
          <w:b w:val="0"/>
          <w:i w:val="0"/>
          <w:strike w:val="0"/>
          <w:noProof w:val="0"/>
          <w:color w:val="000000"/>
          <w:position w:val="0"/>
          <w:sz w:val="20"/>
          <w:u w:val="none"/>
          <w:vertAlign w:val="baseline"/>
        </w:rPr>
        <w:t xml:space="preserve"> is analyzed using the same standards applicable to a motion to dismiss under </w:t>
      </w:r>
      <w:hyperlink r:id="rId9"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w:t>
      </w:r>
      <w:bookmarkStart w:id="31" w:name="Bookmark_I5PT969728T4T40010000400"/>
      <w:bookmarkEnd w:id="31"/>
      <w:hyperlink r:id="rId15" w:history="1">
        <w:r>
          <w:rPr>
            <w:rFonts w:ascii="arial" w:eastAsia="arial" w:hAnsi="arial" w:cs="arial"/>
            <w:b w:val="0"/>
            <w:i/>
            <w:strike w:val="0"/>
            <w:noProof w:val="0"/>
            <w:color w:val="0077CC"/>
            <w:position w:val="0"/>
            <w:sz w:val="20"/>
            <w:u w:val="single"/>
            <w:vertAlign w:val="baseline"/>
          </w:rPr>
          <w:t>Tucker v. Middleburg-Legacy Place, LLC</w:t>
        </w:r>
      </w:hyperlink>
      <w:hyperlink r:id="rId15" w:history="1">
        <w:r>
          <w:rPr>
            <w:rFonts w:ascii="arial" w:eastAsia="arial" w:hAnsi="arial" w:cs="arial"/>
            <w:b w:val="0"/>
            <w:i/>
            <w:strike w:val="0"/>
            <w:noProof w:val="0"/>
            <w:color w:val="0077CC"/>
            <w:position w:val="0"/>
            <w:sz w:val="20"/>
            <w:u w:val="single"/>
            <w:vertAlign w:val="baseline"/>
          </w:rPr>
          <w:t>, 539 F.3d 545, 549 (6th Cir. 2008)</w:t>
        </w:r>
      </w:hyperlink>
      <w:r>
        <w:rPr>
          <w:rFonts w:ascii="arial" w:eastAsia="arial" w:hAnsi="arial" w:cs="arial"/>
          <w:b w:val="0"/>
          <w:i w:val="0"/>
          <w:strike w:val="0"/>
          <w:noProof w:val="0"/>
          <w:color w:val="000000"/>
          <w:position w:val="0"/>
          <w:sz w:val="20"/>
          <w:u w:val="none"/>
          <w:vertAlign w:val="baseline"/>
        </w:rPr>
        <w:t xml:space="preserve"> (citing </w:t>
      </w:r>
      <w:bookmarkStart w:id="32" w:name="Bookmark_I5PT969728T4T40030000400"/>
      <w:bookmarkEnd w:id="32"/>
      <w:hyperlink r:id="rId16" w:history="1">
        <w:r>
          <w:rPr>
            <w:rFonts w:ascii="arial" w:eastAsia="arial" w:hAnsi="arial" w:cs="arial"/>
            <w:b w:val="0"/>
            <w:i/>
            <w:strike w:val="0"/>
            <w:noProof w:val="0"/>
            <w:color w:val="0077CC"/>
            <w:position w:val="0"/>
            <w:sz w:val="20"/>
            <w:u w:val="single"/>
            <w:vertAlign w:val="baseline"/>
          </w:rPr>
          <w:t>Sensations, Inc. v. City of Grand Rapids</w:t>
        </w:r>
      </w:hyperlink>
      <w:hyperlink r:id="rId16" w:history="1">
        <w:r>
          <w:rPr>
            <w:rFonts w:ascii="arial" w:eastAsia="arial" w:hAnsi="arial" w:cs="arial"/>
            <w:b w:val="0"/>
            <w:i/>
            <w:strike w:val="0"/>
            <w:noProof w:val="0"/>
            <w:color w:val="0077CC"/>
            <w:position w:val="0"/>
            <w:sz w:val="20"/>
            <w:u w:val="single"/>
            <w:vertAlign w:val="baseline"/>
          </w:rPr>
          <w:t>, 526 F.3d 291, 295 (6th Cir. 2008))</w:t>
        </w:r>
      </w:hyperlink>
      <w:r>
        <w:rPr>
          <w:rFonts w:ascii="arial" w:eastAsia="arial" w:hAnsi="arial" w:cs="arial"/>
          <w:b w:val="0"/>
          <w:i w:val="0"/>
          <w:strike w:val="0"/>
          <w:noProof w:val="0"/>
          <w:color w:val="000000"/>
          <w:position w:val="0"/>
          <w:sz w:val="20"/>
          <w:u w:val="none"/>
          <w:vertAlign w:val="baseline"/>
        </w:rPr>
        <w:t xml:space="preserve">. </w:t>
      </w:r>
      <w:bookmarkStart w:id="33" w:name="Bookmark_I5PT96972D6NJ50050000400"/>
      <w:bookmarkEnd w:id="33"/>
      <w:r>
        <w:rPr>
          <w:rFonts w:ascii="arial" w:eastAsia="arial" w:hAnsi="arial" w:cs="arial"/>
          <w:b w:val="0"/>
          <w:i w:val="0"/>
          <w:strike w:val="0"/>
          <w:noProof w:val="0"/>
          <w:color w:val="000000"/>
          <w:position w:val="0"/>
          <w:sz w:val="20"/>
          <w:u w:val="none"/>
          <w:vertAlign w:val="baseline"/>
        </w:rPr>
        <w:t>"[T]o survive a motion to dismiss[,] a complaint must contain (1) 'enough facts to state a claim to relief that is plausible,' (2)</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more than 'a formulaic recitation of a cause of action's elements,' and (3) allegations that suggest a 'right to relief above a speculative level.'" </w:t>
      </w:r>
      <w:bookmarkStart w:id="34" w:name="Bookmark_I5PT969728T4T40050000400"/>
      <w:bookmarkEnd w:id="34"/>
      <w:hyperlink r:id="rId17" w:history="1">
        <w:r>
          <w:rPr>
            <w:rFonts w:ascii="arial" w:eastAsia="arial" w:hAnsi="arial" w:cs="arial"/>
            <w:b w:val="0"/>
            <w:i/>
            <w:strike w:val="0"/>
            <w:noProof w:val="0"/>
            <w:color w:val="0077CC"/>
            <w:position w:val="0"/>
            <w:sz w:val="20"/>
            <w:u w:val="single"/>
            <w:vertAlign w:val="baseline"/>
          </w:rPr>
          <w:t>Tackett v. M&amp;G Polymers, USA, LLC</w:t>
        </w:r>
      </w:hyperlink>
      <w:hyperlink r:id="rId17" w:history="1">
        <w:r>
          <w:rPr>
            <w:rFonts w:ascii="arial" w:eastAsia="arial" w:hAnsi="arial" w:cs="arial"/>
            <w:b w:val="0"/>
            <w:i/>
            <w:strike w:val="0"/>
            <w:noProof w:val="0"/>
            <w:color w:val="0077CC"/>
            <w:position w:val="0"/>
            <w:sz w:val="20"/>
            <w:u w:val="single"/>
            <w:vertAlign w:val="baseline"/>
          </w:rPr>
          <w:t>, 561 F.3d 478, 488 (6th Cir. 2009)</w:t>
        </w:r>
      </w:hyperlink>
      <w:r>
        <w:rPr>
          <w:rFonts w:ascii="arial" w:eastAsia="arial" w:hAnsi="arial" w:cs="arial"/>
          <w:b w:val="0"/>
          <w:i w:val="0"/>
          <w:strike w:val="0"/>
          <w:noProof w:val="0"/>
          <w:color w:val="000000"/>
          <w:position w:val="0"/>
          <w:sz w:val="20"/>
          <w:u w:val="none"/>
          <w:vertAlign w:val="baseline"/>
        </w:rPr>
        <w:t xml:space="preserve"> (quoting </w:t>
      </w:r>
      <w:bookmarkStart w:id="35" w:name="Bookmark_I5PT96972D6NJ50020000400"/>
      <w:bookmarkEnd w:id="35"/>
      <w:hyperlink r:id="rId18" w:history="1">
        <w:r>
          <w:rPr>
            <w:rFonts w:ascii="arial" w:eastAsia="arial" w:hAnsi="arial" w:cs="arial"/>
            <w:b w:val="0"/>
            <w:i/>
            <w:strike w:val="0"/>
            <w:noProof w:val="0"/>
            <w:color w:val="0077CC"/>
            <w:position w:val="0"/>
            <w:sz w:val="20"/>
            <w:u w:val="single"/>
            <w:vertAlign w:val="baseline"/>
          </w:rPr>
          <w:t>Bell Atlantic Corp. v. Twombly</w:t>
        </w:r>
      </w:hyperlink>
      <w:hyperlink r:id="rId18" w:history="1">
        <w:r>
          <w:rPr>
            <w:rFonts w:ascii="arial" w:eastAsia="arial" w:hAnsi="arial" w:cs="arial"/>
            <w:b w:val="0"/>
            <w:i/>
            <w:strike w:val="0"/>
            <w:noProof w:val="0"/>
            <w:color w:val="0077CC"/>
            <w:position w:val="0"/>
            <w:sz w:val="20"/>
            <w:u w:val="single"/>
            <w:vertAlign w:val="baseline"/>
          </w:rPr>
          <w:t>, 550 U.S. 544,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36" w:name="Bookmark_I5PT96972D6NJ50050000400_2"/>
      <w:bookmarkEnd w:id="36"/>
      <w:bookmarkStart w:id="37" w:name="Bookmark_I5PT96972SF8BR0020000400"/>
      <w:bookmarkEnd w:id="37"/>
      <w:r>
        <w:rPr>
          <w:rFonts w:ascii="arial" w:eastAsia="arial" w:hAnsi="arial" w:cs="arial"/>
          <w:b w:val="0"/>
          <w:i w:val="0"/>
          <w:strike w:val="0"/>
          <w:noProof w:val="0"/>
          <w:color w:val="000000"/>
          <w:position w:val="0"/>
          <w:sz w:val="20"/>
          <w:u w:val="none"/>
          <w:vertAlign w:val="baseline"/>
        </w:rPr>
        <w:t xml:space="preserve">A claim has facial plausibility when the pleaded factual content allows the court to draw the reasonable inference that the defendant is liable for the misconduct alleged. </w:t>
      </w:r>
      <w:bookmarkStart w:id="38" w:name="Bookmark_I5PT96972D6NJ50040000400"/>
      <w:bookmarkEnd w:id="38"/>
      <w:hyperlink r:id="rId19" w:history="1">
        <w:r>
          <w:rPr>
            <w:rFonts w:ascii="arial" w:eastAsia="arial" w:hAnsi="arial" w:cs="arial"/>
            <w:b w:val="0"/>
            <w:i/>
            <w:strike w:val="0"/>
            <w:noProof w:val="0"/>
            <w:color w:val="0077CC"/>
            <w:position w:val="0"/>
            <w:sz w:val="20"/>
            <w:u w:val="single"/>
            <w:vertAlign w:val="baseline"/>
          </w:rPr>
          <w:t>Ashcroft v. Iqbal</w:t>
        </w:r>
      </w:hyperlink>
      <w:hyperlink r:id="rId19" w:history="1">
        <w:r>
          <w:rPr>
            <w:rFonts w:ascii="arial" w:eastAsia="arial" w:hAnsi="arial" w:cs="arial"/>
            <w:b w:val="0"/>
            <w:i/>
            <w:strike w:val="0"/>
            <w:noProof w:val="0"/>
            <w:color w:val="0077CC"/>
            <w:position w:val="0"/>
            <w:sz w:val="20"/>
            <w:u w:val="single"/>
            <w:vertAlign w:val="baseline"/>
          </w:rPr>
          <w:t>, 556 U.S. 662, 663,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39" w:name="Bookmark_I5PT96972SF8BR0020000400_2"/>
      <w:bookmarkEnd w:id="39"/>
      <w:r>
        <w:rPr>
          <w:rFonts w:ascii="arial" w:eastAsia="arial" w:hAnsi="arial" w:cs="arial"/>
          <w:b w:val="0"/>
          <w:i w:val="0"/>
          <w:strike w:val="0"/>
          <w:noProof w:val="0"/>
          <w:color w:val="000000"/>
          <w:position w:val="0"/>
          <w:sz w:val="20"/>
          <w:u w:val="none"/>
          <w:vertAlign w:val="baseline"/>
        </w:rPr>
        <w:t xml:space="preserve">Although the plausibility standard is not equivalent to a "'probability requirement,' . . . it asks for more than a sheer possibility that a defendant has acted unlawfully." </w:t>
      </w:r>
      <w:bookmarkStart w:id="40" w:name="Bookmark_I5PT96972SF8BR0010000400"/>
      <w:bookmarkEnd w:id="40"/>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678</w:t>
        </w:r>
      </w:hyperlink>
      <w:r>
        <w:rPr>
          <w:rFonts w:ascii="arial" w:eastAsia="arial" w:hAnsi="arial" w:cs="arial"/>
          <w:b w:val="0"/>
          <w:i w:val="0"/>
          <w:strike w:val="0"/>
          <w:noProof w:val="0"/>
          <w:color w:val="000000"/>
          <w:position w:val="0"/>
          <w:sz w:val="20"/>
          <w:u w:val="none"/>
          <w:vertAlign w:val="baseline"/>
        </w:rPr>
        <w:t xml:space="preserve"> (quoting </w:t>
      </w:r>
      <w:bookmarkStart w:id="41" w:name="Bookmark_I5PT96972SF8BR0030000400"/>
      <w:bookmarkEnd w:id="41"/>
      <w:hyperlink r:id="rId18" w:history="1">
        <w:r>
          <w:rPr>
            <w:rFonts w:ascii="arial" w:eastAsia="arial" w:hAnsi="arial" w:cs="arial"/>
            <w:b w:val="0"/>
            <w:i/>
            <w:strike w:val="0"/>
            <w:noProof w:val="0"/>
            <w:color w:val="0077CC"/>
            <w:position w:val="0"/>
            <w:sz w:val="20"/>
            <w:u w:val="single"/>
            <w:vertAlign w:val="baseline"/>
          </w:rPr>
          <w:t>Twombly</w:t>
        </w:r>
      </w:hyperlink>
      <w:hyperlink r:id="rId18"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Elements of Wrongful Termination in Violation of Public Policy</w:t>
      </w:r>
    </w:p>
    <w:p>
      <w:pPr>
        <w:keepNext w:val="0"/>
        <w:widowControl w:val="0"/>
        <w:spacing w:before="240" w:after="0" w:line="260" w:lineRule="atLeast"/>
        <w:ind w:left="0" w:right="0" w:firstLine="0"/>
        <w:jc w:val="both"/>
      </w:pPr>
      <w:bookmarkStart w:id="42" w:name="Bookmark_para_9"/>
      <w:bookmarkEnd w:id="42"/>
      <w:r>
        <w:rPr>
          <w:rFonts w:ascii="arial" w:eastAsia="arial" w:hAnsi="arial" w:cs="arial"/>
          <w:b w:val="0"/>
          <w:i w:val="0"/>
          <w:strike w:val="0"/>
          <w:noProof w:val="0"/>
          <w:color w:val="000000"/>
          <w:position w:val="0"/>
          <w:sz w:val="20"/>
          <w:u w:val="none"/>
          <w:vertAlign w:val="baseline"/>
        </w:rPr>
        <w:t xml:space="preserve">Defendant argues that the facts Plaintiff alleges do not support a plausible claim for wrongful termination in violation of public policy, arguing that the foregoing claim may not be premised on Plaintiff's allegations that he was terminated for complaining about violations of the </w:t>
      </w:r>
      <w:hyperlink r:id="rId10" w:history="1">
        <w:r>
          <w:rPr>
            <w:rFonts w:ascii="arial" w:eastAsia="arial" w:hAnsi="arial" w:cs="arial"/>
            <w:b w:val="0"/>
            <w:i/>
            <w:strike w:val="0"/>
            <w:noProof w:val="0"/>
            <w:color w:val="0077CC"/>
            <w:position w:val="0"/>
            <w:sz w:val="20"/>
            <w:u w:val="single"/>
            <w:vertAlign w:val="baseline"/>
          </w:rPr>
          <w:t>Robinson-Patman Act, 15 U.S.C §13 et seq.</w:t>
        </w:r>
      </w:hyperlink>
    </w:p>
    <w:p>
      <w:pPr>
        <w:keepNext w:val="0"/>
        <w:widowControl w:val="0"/>
        <w:spacing w:before="200" w:after="0" w:line="260" w:lineRule="atLeast"/>
        <w:ind w:left="0" w:right="0" w:firstLine="0"/>
        <w:jc w:val="both"/>
      </w:pPr>
      <w:bookmarkStart w:id="43" w:name="Bookmark_para_10"/>
      <w:bookmarkEnd w:id="43"/>
      <w:bookmarkStart w:id="44" w:name="Bookmark_I5PT969728T4T50010000400"/>
      <w:bookmarkEnd w:id="44"/>
      <w:r>
        <w:rPr>
          <w:rFonts w:ascii="arial" w:eastAsia="arial" w:hAnsi="arial" w:cs="arial"/>
          <w:b w:val="0"/>
          <w:i w:val="0"/>
          <w:strike w:val="0"/>
          <w:noProof w:val="0"/>
          <w:color w:val="000000"/>
          <w:position w:val="0"/>
          <w:sz w:val="20"/>
          <w:u w:val="none"/>
          <w:vertAlign w:val="baseline"/>
        </w:rPr>
        <w:t xml:space="preserve">In Ohio, claims for wrongful termination in violation of public policy represent an exception to at-will employment. </w:t>
      </w:r>
      <w:bookmarkStart w:id="45" w:name="Bookmark_I5PT96972SF8BR0050000400"/>
      <w:bookmarkEnd w:id="45"/>
      <w:hyperlink r:id="rId20" w:history="1">
        <w:r>
          <w:rPr>
            <w:rFonts w:ascii="arial" w:eastAsia="arial" w:hAnsi="arial" w:cs="arial"/>
            <w:b w:val="0"/>
            <w:i/>
            <w:strike w:val="0"/>
            <w:noProof w:val="0"/>
            <w:color w:val="0077CC"/>
            <w:position w:val="0"/>
            <w:sz w:val="20"/>
            <w:u w:val="single"/>
            <w:vertAlign w:val="baseline"/>
          </w:rPr>
          <w:t>Greeley v. Miami Valley Maintenance Contractors, Inc</w:t>
        </w:r>
      </w:hyperlink>
      <w:hyperlink r:id="rId20" w:history="1">
        <w:r>
          <w:rPr>
            <w:rFonts w:ascii="arial" w:eastAsia="arial" w:hAnsi="arial" w:cs="arial"/>
            <w:b w:val="0"/>
            <w:i/>
            <w:strike w:val="0"/>
            <w:noProof w:val="0"/>
            <w:color w:val="0077CC"/>
            <w:position w:val="0"/>
            <w:sz w:val="20"/>
            <w:u w:val="single"/>
            <w:vertAlign w:val="baseline"/>
          </w:rPr>
          <w:t>., 49 Ohio St. 3d 228, 234, 551 N.E.2d 981, 986 (1990)</w:t>
        </w:r>
      </w:hyperlink>
      <w:r>
        <w:rPr>
          <w:rFonts w:ascii="arial" w:eastAsia="arial" w:hAnsi="arial" w:cs="arial"/>
          <w:b w:val="0"/>
          <w:i w:val="0"/>
          <w:strike w:val="0"/>
          <w:noProof w:val="0"/>
          <w:color w:val="000000"/>
          <w:position w:val="0"/>
          <w:sz w:val="20"/>
          <w:u w:val="none"/>
          <w:vertAlign w:val="baseline"/>
        </w:rPr>
        <w:t xml:space="preserve">. </w:t>
      </w:r>
      <w:bookmarkStart w:id="46" w:name="Bookmark_I705PY2J0NJ0009MWN200007"/>
      <w:bookmarkEnd w:id="46"/>
      <w:bookmarkStart w:id="47" w:name="Bookmark_I5PT969728T4T50030000400"/>
      <w:bookmarkEnd w:id="47"/>
      <w:r>
        <w:rPr>
          <w:rFonts w:ascii="arial" w:eastAsia="arial" w:hAnsi="arial" w:cs="arial"/>
          <w:b w:val="0"/>
          <w:i w:val="0"/>
          <w:strike w:val="0"/>
          <w:noProof w:val="0"/>
          <w:color w:val="000000"/>
          <w:position w:val="0"/>
          <w:sz w:val="20"/>
          <w:u w:val="none"/>
          <w:vertAlign w:val="baseline"/>
        </w:rPr>
        <w:t>To prove a claim of wrongful discharge in violation of public policy, a plaintiff must satisfy four elements:</w:t>
      </w:r>
    </w:p>
    <w:p>
      <w:pPr>
        <w:keepNext w:val="0"/>
        <w:widowControl w:val="0"/>
        <w:spacing w:before="200" w:after="0" w:line="260" w:lineRule="atLeast"/>
        <w:ind w:left="400" w:right="0" w:firstLine="0"/>
        <w:jc w:val="both"/>
      </w:pPr>
      <w:bookmarkStart w:id="48" w:name="Bookmark_para_11"/>
      <w:bookmarkEnd w:id="48"/>
      <w:bookmarkStart w:id="49" w:name="Bookmark_I5PT969728T4T50030000400_2"/>
      <w:bookmarkEnd w:id="49"/>
      <w:bookmarkStart w:id="50" w:name="Bookmark_I5PT96972N1PTM0020000400"/>
      <w:bookmarkEnd w:id="50"/>
      <w:r>
        <w:rPr>
          <w:rFonts w:ascii="arial" w:eastAsia="arial" w:hAnsi="arial" w:cs="arial"/>
          <w:b w:val="0"/>
          <w:i w:val="0"/>
          <w:strike w:val="0"/>
          <w:noProof w:val="0"/>
          <w:color w:val="000000"/>
          <w:position w:val="0"/>
          <w:sz w:val="20"/>
          <w:u w:val="none"/>
          <w:vertAlign w:val="baseline"/>
        </w:rPr>
        <w:t>(1) a clear public policy manifested in state or federal law (clarity element); (2)</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dismissal under circumstances like those involved here would jeopardize that public policy (jeopardy element); (3) dismissal motivated by conduct related to the public policy (causation element); and (4) lack of an overriding business justification by the employer for the dismissal (overriding justification element).</w:t>
      </w:r>
    </w:p>
    <w:p>
      <w:pPr>
        <w:keepNext w:val="0"/>
        <w:widowControl w:val="0"/>
        <w:spacing w:before="240" w:after="0" w:line="260" w:lineRule="atLeast"/>
        <w:ind w:left="0" w:right="0" w:firstLine="0"/>
        <w:jc w:val="both"/>
      </w:pPr>
      <w:bookmarkStart w:id="51" w:name="Bookmark_I5PT96972N1PTM0020000400_2"/>
      <w:bookmarkEnd w:id="51"/>
      <w:bookmarkStart w:id="52" w:name="Bookmark_I5PT969728T4T50030000400_3"/>
      <w:bookmarkEnd w:id="52"/>
      <w:bookmarkStart w:id="53" w:name="Bookmark_I5PT969728T4T50020000400"/>
      <w:bookmarkEnd w:id="53"/>
      <w:hyperlink r:id="rId21" w:history="1">
        <w:r>
          <w:rPr>
            <w:rFonts w:ascii="arial" w:eastAsia="arial" w:hAnsi="arial" w:cs="arial"/>
            <w:b w:val="0"/>
            <w:i/>
            <w:strike w:val="0"/>
            <w:color w:val="0077CC"/>
            <w:sz w:val="20"/>
            <w:u w:val="single"/>
            <w:vertAlign w:val="baseline"/>
          </w:rPr>
          <w:t>Hale v. Mercy Health Partners</w:t>
        </w:r>
      </w:hyperlink>
      <w:hyperlink r:id="rId21" w:history="1">
        <w:r>
          <w:rPr>
            <w:rFonts w:ascii="arial" w:eastAsia="arial" w:hAnsi="arial" w:cs="arial"/>
            <w:b w:val="0"/>
            <w:i/>
            <w:strike w:val="0"/>
            <w:color w:val="0077CC"/>
            <w:sz w:val="20"/>
            <w:u w:val="single"/>
            <w:vertAlign w:val="baseline"/>
          </w:rPr>
          <w:t>, 20 F. Supp. 3d 620, 637 (S.D. Ohio 2014)</w:t>
        </w:r>
      </w:hyperlink>
      <w:r>
        <w:rPr>
          <w:rFonts w:ascii="arial" w:eastAsia="arial" w:hAnsi="arial" w:cs="arial"/>
          <w:b w:val="0"/>
          <w:i w:val="0"/>
          <w:strike w:val="0"/>
          <w:noProof w:val="0"/>
          <w:color w:val="000000"/>
          <w:position w:val="0"/>
          <w:sz w:val="20"/>
          <w:u w:val="none"/>
          <w:vertAlign w:val="baseline"/>
        </w:rPr>
        <w:t xml:space="preserve">, aff'd </w:t>
      </w:r>
      <w:hyperlink r:id="rId22" w:history="1">
        <w:r>
          <w:rPr>
            <w:rFonts w:ascii="arial" w:eastAsia="arial" w:hAnsi="arial" w:cs="arial"/>
            <w:b w:val="0"/>
            <w:i/>
            <w:strike w:val="0"/>
            <w:noProof w:val="0"/>
            <w:color w:val="0077CC"/>
            <w:position w:val="0"/>
            <w:sz w:val="20"/>
            <w:u w:val="single"/>
            <w:vertAlign w:val="baseline"/>
          </w:rPr>
          <w:t>617 F. App'x 395 (6th Cir. 2015)</w:t>
        </w:r>
      </w:hyperlink>
      <w:r>
        <w:rPr>
          <w:rFonts w:ascii="arial" w:eastAsia="arial" w:hAnsi="arial" w:cs="arial"/>
          <w:b w:val="0"/>
          <w:i w:val="0"/>
          <w:strike w:val="0"/>
          <w:noProof w:val="0"/>
          <w:color w:val="000000"/>
          <w:position w:val="0"/>
          <w:sz w:val="20"/>
          <w:u w:val="none"/>
          <w:vertAlign w:val="baseline"/>
        </w:rPr>
        <w:t xml:space="preserve">, citing </w:t>
      </w:r>
      <w:bookmarkStart w:id="54" w:name="Bookmark_I5PT969728T4T50040000400"/>
      <w:bookmarkEnd w:id="54"/>
      <w:hyperlink r:id="rId23" w:history="1">
        <w:r>
          <w:rPr>
            <w:rFonts w:ascii="arial" w:eastAsia="arial" w:hAnsi="arial" w:cs="arial"/>
            <w:b w:val="0"/>
            <w:i/>
            <w:strike w:val="0"/>
            <w:noProof w:val="0"/>
            <w:color w:val="0077CC"/>
            <w:position w:val="0"/>
            <w:sz w:val="20"/>
            <w:u w:val="single"/>
            <w:vertAlign w:val="baseline"/>
          </w:rPr>
          <w:t>Collins v. Rizkana</w:t>
        </w:r>
      </w:hyperlink>
      <w:hyperlink r:id="rId23" w:history="1">
        <w:r>
          <w:rPr>
            <w:rFonts w:ascii="arial" w:eastAsia="arial" w:hAnsi="arial" w:cs="arial"/>
            <w:b w:val="0"/>
            <w:i/>
            <w:strike w:val="0"/>
            <w:noProof w:val="0"/>
            <w:color w:val="0077CC"/>
            <w:position w:val="0"/>
            <w:sz w:val="20"/>
            <w:u w:val="single"/>
            <w:vertAlign w:val="baseline"/>
          </w:rPr>
          <w:t>, 73 Ohio St.3d 65, 69-70, 1995 Ohio 135, 652 N.E. 2d 653 (Ohio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clarity and jeopardy elements present questions of law, while the causation and overriding-justification elements present questions of fact. </w:t>
      </w:r>
      <w:bookmarkStart w:id="55" w:name="Bookmark_I5PT96972N1PTM0010000400"/>
      <w:bookmarkEnd w:id="55"/>
      <w:hyperlink r:id="rId23" w:history="1">
        <w:r>
          <w:rPr>
            <w:rFonts w:ascii="arial" w:eastAsia="arial" w:hAnsi="arial" w:cs="arial"/>
            <w:b w:val="0"/>
            <w:i/>
            <w:strike w:val="0"/>
            <w:noProof w:val="0"/>
            <w:color w:val="0077CC"/>
            <w:position w:val="0"/>
            <w:sz w:val="20"/>
            <w:u w:val="single"/>
            <w:vertAlign w:val="baseline"/>
          </w:rPr>
          <w:t>Collins</w:t>
        </w:r>
      </w:hyperlink>
      <w:hyperlink r:id="rId23" w:history="1">
        <w:r>
          <w:rPr>
            <w:rFonts w:ascii="arial" w:eastAsia="arial" w:hAnsi="arial" w:cs="arial"/>
            <w:b w:val="0"/>
            <w:i/>
            <w:strike w:val="0"/>
            <w:noProof w:val="0"/>
            <w:color w:val="0077CC"/>
            <w:position w:val="0"/>
            <w:sz w:val="20"/>
            <w:u w:val="single"/>
            <w:vertAlign w:val="baseline"/>
          </w:rPr>
          <w:t>, 73 Ohio St. 3d at 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The Clarity Element</w:t>
      </w:r>
    </w:p>
    <w:p>
      <w:pPr>
        <w:keepNext w:val="0"/>
        <w:widowControl w:val="0"/>
        <w:spacing w:before="240" w:after="0" w:line="260" w:lineRule="atLeast"/>
        <w:ind w:left="0" w:right="0" w:firstLine="0"/>
        <w:jc w:val="both"/>
      </w:pPr>
      <w:bookmarkStart w:id="56" w:name="Bookmark_para_12"/>
      <w:bookmarkEnd w:id="56"/>
      <w:r>
        <w:rPr>
          <w:rFonts w:ascii="arial" w:eastAsia="arial" w:hAnsi="arial" w:cs="arial"/>
          <w:b w:val="0"/>
          <w:i w:val="0"/>
          <w:strike w:val="0"/>
          <w:noProof w:val="0"/>
          <w:color w:val="000000"/>
          <w:position w:val="0"/>
          <w:sz w:val="20"/>
          <w:u w:val="none"/>
          <w:vertAlign w:val="baseline"/>
        </w:rPr>
        <w:t xml:space="preserve">Defendant's </w:t>
      </w:r>
      <w:hyperlink r:id="rId9"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Motion (Doc. 15) hinges on whether Plaintiff's alleged termination for complaining about violations of the Robinson-Patman Act violates a "clear public policy manifested in state or federal law."</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both"/>
      </w:pPr>
      <w:bookmarkStart w:id="58" w:name="Bookmark_para_13"/>
      <w:bookmarkEnd w:id="58"/>
      <w:bookmarkStart w:id="59" w:name="Bookmark_I5PT96972N1PTM0040000400"/>
      <w:bookmarkEnd w:id="59"/>
      <w:bookmarkStart w:id="60" w:name="Bookmark_I5PT96972SF8BS0030000400"/>
      <w:bookmarkEnd w:id="60"/>
      <w:r>
        <w:rPr>
          <w:rFonts w:ascii="arial" w:eastAsia="arial" w:hAnsi="arial" w:cs="arial"/>
          <w:b w:val="0"/>
          <w:i w:val="0"/>
          <w:strike w:val="0"/>
          <w:noProof w:val="0"/>
          <w:color w:val="000000"/>
          <w:position w:val="0"/>
          <w:sz w:val="20"/>
          <w:u w:val="none"/>
          <w:vertAlign w:val="baseline"/>
        </w:rPr>
        <w:t xml:space="preserve">In diversity cases involving state law issues such as this one, federal courts "must apply the law of the state's highest court." </w:t>
      </w:r>
      <w:bookmarkStart w:id="61" w:name="Bookmark_I5PT96972N1PTM0030000400"/>
      <w:bookmarkEnd w:id="61"/>
      <w:hyperlink r:id="rId24" w:history="1">
        <w:r>
          <w:rPr>
            <w:rFonts w:ascii="arial" w:eastAsia="arial" w:hAnsi="arial" w:cs="arial"/>
            <w:b w:val="0"/>
            <w:i/>
            <w:strike w:val="0"/>
            <w:noProof w:val="0"/>
            <w:color w:val="0077CC"/>
            <w:position w:val="0"/>
            <w:sz w:val="20"/>
            <w:u w:val="single"/>
            <w:vertAlign w:val="baseline"/>
          </w:rPr>
          <w:t>Garden City Osteopathic Hosp. v. HBE Corp</w:t>
        </w:r>
      </w:hyperlink>
      <w:hyperlink r:id="rId24" w:history="1">
        <w:r>
          <w:rPr>
            <w:rFonts w:ascii="arial" w:eastAsia="arial" w:hAnsi="arial" w:cs="arial"/>
            <w:b w:val="0"/>
            <w:i/>
            <w:strike w:val="0"/>
            <w:noProof w:val="0"/>
            <w:color w:val="0077CC"/>
            <w:position w:val="0"/>
            <w:sz w:val="20"/>
            <w:u w:val="single"/>
            <w:vertAlign w:val="baseline"/>
          </w:rPr>
          <w:t>., 55 F.3d 1126, 1130 (6th Cir. 1995)</w:t>
        </w:r>
      </w:hyperlink>
      <w:r>
        <w:rPr>
          <w:rFonts w:ascii="arial" w:eastAsia="arial" w:hAnsi="arial" w:cs="arial"/>
          <w:b w:val="0"/>
          <w:i w:val="0"/>
          <w:strike w:val="0"/>
          <w:noProof w:val="0"/>
          <w:color w:val="000000"/>
          <w:position w:val="0"/>
          <w:sz w:val="20"/>
          <w:u w:val="none"/>
          <w:vertAlign w:val="baseline"/>
        </w:rPr>
        <w:t xml:space="preserve"> (citing </w:t>
      </w:r>
      <w:bookmarkStart w:id="62" w:name="Bookmark_I5PT96972N1PTM0050000400"/>
      <w:bookmarkEnd w:id="62"/>
      <w:hyperlink r:id="rId25" w:history="1">
        <w:r>
          <w:rPr>
            <w:rFonts w:ascii="arial" w:eastAsia="arial" w:hAnsi="arial" w:cs="arial"/>
            <w:b w:val="0"/>
            <w:i/>
            <w:strike w:val="0"/>
            <w:noProof w:val="0"/>
            <w:color w:val="0077CC"/>
            <w:position w:val="0"/>
            <w:sz w:val="20"/>
            <w:u w:val="single"/>
            <w:vertAlign w:val="baseline"/>
          </w:rPr>
          <w:t>Erie R.R. v. Tompkins</w:t>
        </w:r>
      </w:hyperlink>
      <w:hyperlink r:id="rId25" w:history="1">
        <w:r>
          <w:rPr>
            <w:rFonts w:ascii="arial" w:eastAsia="arial" w:hAnsi="arial" w:cs="arial"/>
            <w:b w:val="0"/>
            <w:i/>
            <w:strike w:val="0"/>
            <w:noProof w:val="0"/>
            <w:color w:val="0077CC"/>
            <w:position w:val="0"/>
            <w:sz w:val="20"/>
            <w:u w:val="single"/>
            <w:vertAlign w:val="baseline"/>
          </w:rPr>
          <w:t>, 304 U.S. 64, 58 S. Ct. 817, 82 L. Ed. 1188 (1938))</w:t>
        </w:r>
      </w:hyperlink>
      <w:r>
        <w:rPr>
          <w:rFonts w:ascii="arial" w:eastAsia="arial" w:hAnsi="arial" w:cs="arial"/>
          <w:b w:val="0"/>
          <w:i w:val="0"/>
          <w:strike w:val="0"/>
          <w:noProof w:val="0"/>
          <w:color w:val="000000"/>
          <w:position w:val="0"/>
          <w:sz w:val="20"/>
          <w:u w:val="none"/>
          <w:vertAlign w:val="baseline"/>
        </w:rPr>
        <w:t xml:space="preserve">. If there is no controlling authority from the state supreme court, an appellate court decision announcing a rule of law may not be disregarded unless other persuasive data convinces the federal court that the state supreme court would decide the case differently. </w:t>
      </w:r>
      <w:bookmarkStart w:id="63" w:name="Bookmark_I5PT96972SF8BS0050000400"/>
      <w:bookmarkEnd w:id="63"/>
      <w:bookmarkStart w:id="64" w:name="Bookmark_I5PT96972SF8BS0020000400"/>
      <w:bookmarkEnd w:id="64"/>
      <w:hyperlink r:id="rId26" w:history="1">
        <w:r>
          <w:rPr>
            <w:rFonts w:ascii="arial" w:eastAsia="arial" w:hAnsi="arial" w:cs="arial"/>
            <w:b w:val="0"/>
            <w:i/>
            <w:strike w:val="0"/>
            <w:noProof w:val="0"/>
            <w:color w:val="0077CC"/>
            <w:position w:val="0"/>
            <w:sz w:val="20"/>
            <w:u w:val="single"/>
            <w:vertAlign w:val="baseline"/>
          </w:rPr>
          <w:t>Mich. First Credit Union v. Cumis Ins. Soc., Inc</w:t>
        </w:r>
      </w:hyperlink>
      <w:hyperlink r:id="rId26" w:history="1">
        <w:r>
          <w:rPr>
            <w:rFonts w:ascii="arial" w:eastAsia="arial" w:hAnsi="arial" w:cs="arial"/>
            <w:b w:val="0"/>
            <w:i/>
            <w:strike w:val="0"/>
            <w:noProof w:val="0"/>
            <w:color w:val="0077CC"/>
            <w:position w:val="0"/>
            <w:sz w:val="20"/>
            <w:u w:val="single"/>
            <w:vertAlign w:val="baseline"/>
          </w:rPr>
          <w:t>., 641 F.3d 240, 252 (6th Cir. 2011)</w:t>
        </w:r>
      </w:hyperlink>
      <w:r>
        <w:rPr>
          <w:rFonts w:ascii="arial" w:eastAsia="arial" w:hAnsi="arial" w:cs="arial"/>
          <w:b w:val="0"/>
          <w:i w:val="0"/>
          <w:strike w:val="0"/>
          <w:noProof w:val="0"/>
          <w:color w:val="000000"/>
          <w:position w:val="0"/>
          <w:sz w:val="20"/>
          <w:u w:val="none"/>
          <w:vertAlign w:val="baseline"/>
        </w:rPr>
        <w:t xml:space="preserve">. </w:t>
      </w:r>
      <w:bookmarkStart w:id="65" w:name="Bookmark_I5PT96972SF8BS0050000400_2"/>
      <w:bookmarkEnd w:id="65"/>
      <w:r>
        <w:rPr>
          <w:rFonts w:ascii="arial" w:eastAsia="arial" w:hAnsi="arial" w:cs="arial"/>
          <w:b w:val="0"/>
          <w:i w:val="0"/>
          <w:strike w:val="0"/>
          <w:noProof w:val="0"/>
          <w:color w:val="000000"/>
          <w:position w:val="0"/>
          <w:sz w:val="20"/>
          <w:u w:val="none"/>
          <w:vertAlign w:val="baseline"/>
        </w:rPr>
        <w:t>For the sake of consistency, federal courts must follow interpretations of state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law announced by their circuit absent "a subsequent change in state law" that resolves the issue. </w:t>
      </w:r>
      <w:bookmarkStart w:id="66" w:name="Bookmark_I5PT96972SF8BS0040000400"/>
      <w:bookmarkEnd w:id="66"/>
      <w:hyperlink r:id="rId27" w:history="1">
        <w:r>
          <w:rPr>
            <w:rFonts w:ascii="arial" w:eastAsia="arial" w:hAnsi="arial" w:cs="arial"/>
            <w:b w:val="0"/>
            <w:i/>
            <w:strike w:val="0"/>
            <w:noProof w:val="0"/>
            <w:color w:val="0077CC"/>
            <w:position w:val="0"/>
            <w:sz w:val="20"/>
            <w:u w:val="single"/>
            <w:vertAlign w:val="baseline"/>
          </w:rPr>
          <w:t>Ohio Bureau of Workers' Comp. v. MDL Active Duration Fund, LTD</w:t>
        </w:r>
      </w:hyperlink>
      <w:hyperlink r:id="rId27" w:history="1">
        <w:r>
          <w:rPr>
            <w:rFonts w:ascii="arial" w:eastAsia="arial" w:hAnsi="arial" w:cs="arial"/>
            <w:b w:val="0"/>
            <w:i/>
            <w:strike w:val="0"/>
            <w:noProof w:val="0"/>
            <w:color w:val="0077CC"/>
            <w:position w:val="0"/>
            <w:sz w:val="20"/>
            <w:u w:val="single"/>
            <w:vertAlign w:val="baseline"/>
          </w:rPr>
          <w:t>., 476 F. Supp. 2d 809, 828 (S.D. Ohio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7" w:name="Bookmark_para_14"/>
      <w:bookmarkEnd w:id="67"/>
      <w:bookmarkStart w:id="68" w:name="Bookmark_I5PT96972HM6840020000400"/>
      <w:bookmarkEnd w:id="68"/>
      <w:bookmarkStart w:id="69" w:name="Bookmark_I5PT96972D6NJ60030000400"/>
      <w:bookmarkEnd w:id="69"/>
      <w:r>
        <w:rPr>
          <w:rFonts w:ascii="arial" w:eastAsia="arial" w:hAnsi="arial" w:cs="arial"/>
          <w:b w:val="0"/>
          <w:i w:val="0"/>
          <w:strike w:val="0"/>
          <w:noProof w:val="0"/>
          <w:color w:val="000000"/>
          <w:position w:val="0"/>
          <w:sz w:val="20"/>
          <w:u w:val="none"/>
          <w:vertAlign w:val="baseline"/>
        </w:rPr>
        <w:t xml:space="preserve">This Court has previously reviewed Ohio authority on at-will employment, and determined that "[w]here an at-will employee's common-law claim embodies only the public policy set forth in </w:t>
      </w:r>
      <w:hyperlink r:id="rId28" w:history="1">
        <w:r>
          <w:rPr>
            <w:rFonts w:ascii="arial" w:eastAsia="arial" w:hAnsi="arial" w:cs="arial"/>
            <w:b w:val="0"/>
            <w:i/>
            <w:strike w:val="0"/>
            <w:noProof w:val="0"/>
            <w:color w:val="0077CC"/>
            <w:position w:val="0"/>
            <w:sz w:val="20"/>
            <w:u w:val="single"/>
            <w:vertAlign w:val="baseline"/>
          </w:rPr>
          <w:t>Ohio Rev. Code § 4113.52</w:t>
        </w:r>
      </w:hyperlink>
      <w:r>
        <w:rPr>
          <w:rFonts w:ascii="arial" w:eastAsia="arial" w:hAnsi="arial" w:cs="arial"/>
          <w:b w:val="0"/>
          <w:i w:val="0"/>
          <w:strike w:val="0"/>
          <w:noProof w:val="0"/>
          <w:color w:val="000000"/>
          <w:position w:val="0"/>
          <w:sz w:val="20"/>
          <w:u w:val="none"/>
          <w:vertAlign w:val="baseline"/>
        </w:rPr>
        <w:t xml:space="preserve"> (the whistleblower statute), the employee must strictly comply with the requirements of that statute." </w:t>
      </w:r>
      <w:bookmarkStart w:id="70" w:name="Bookmark_I5PT96972HM6840010000400"/>
      <w:bookmarkEnd w:id="70"/>
      <w:hyperlink r:id="rId29" w:history="1">
        <w:r>
          <w:rPr>
            <w:rFonts w:ascii="arial" w:eastAsia="arial" w:hAnsi="arial" w:cs="arial"/>
            <w:b w:val="0"/>
            <w:i/>
            <w:strike w:val="0"/>
            <w:noProof w:val="0"/>
            <w:color w:val="0077CC"/>
            <w:position w:val="0"/>
            <w:sz w:val="20"/>
            <w:u w:val="single"/>
            <w:vertAlign w:val="baseline"/>
          </w:rPr>
          <w:t>Seig v. Mercy Franciscan at Schroeder</w:t>
        </w:r>
      </w:hyperlink>
      <w:hyperlink r:id="rId29" w:history="1">
        <w:r>
          <w:rPr>
            <w:rFonts w:ascii="arial" w:eastAsia="arial" w:hAnsi="arial" w:cs="arial"/>
            <w:b w:val="0"/>
            <w:i/>
            <w:strike w:val="0"/>
            <w:noProof w:val="0"/>
            <w:color w:val="0077CC"/>
            <w:position w:val="0"/>
            <w:sz w:val="20"/>
            <w:u w:val="single"/>
            <w:vertAlign w:val="baseline"/>
          </w:rPr>
          <w:t>, No. 1:13-CV-672, 2015 U.S. Dist. LEXIS 29193, at *27 (S.D. Ohio 2015)</w:t>
        </w:r>
      </w:hyperlink>
      <w:r>
        <w:rPr>
          <w:rFonts w:ascii="arial" w:eastAsia="arial" w:hAnsi="arial" w:cs="arial"/>
          <w:b w:val="0"/>
          <w:i w:val="0"/>
          <w:strike w:val="0"/>
          <w:noProof w:val="0"/>
          <w:color w:val="000000"/>
          <w:position w:val="0"/>
          <w:sz w:val="20"/>
          <w:u w:val="none"/>
          <w:vertAlign w:val="baseline"/>
        </w:rPr>
        <w:t xml:space="preserve"> (citing </w:t>
      </w:r>
      <w:bookmarkStart w:id="71" w:name="Bookmark_I5PT96972HM6840030000400"/>
      <w:bookmarkEnd w:id="71"/>
      <w:hyperlink r:id="rId30" w:history="1">
        <w:r>
          <w:rPr>
            <w:rFonts w:ascii="arial" w:eastAsia="arial" w:hAnsi="arial" w:cs="arial"/>
            <w:b w:val="0"/>
            <w:i/>
            <w:strike w:val="0"/>
            <w:noProof w:val="0"/>
            <w:color w:val="0077CC"/>
            <w:position w:val="0"/>
            <w:sz w:val="20"/>
            <w:u w:val="single"/>
            <w:vertAlign w:val="baseline"/>
          </w:rPr>
          <w:t>Kulch v. Structural Fibers</w:t>
        </w:r>
      </w:hyperlink>
      <w:hyperlink r:id="rId30" w:history="1">
        <w:r>
          <w:rPr>
            <w:rFonts w:ascii="arial" w:eastAsia="arial" w:hAnsi="arial" w:cs="arial"/>
            <w:b w:val="0"/>
            <w:i/>
            <w:strike w:val="0"/>
            <w:noProof w:val="0"/>
            <w:color w:val="0077CC"/>
            <w:position w:val="0"/>
            <w:sz w:val="20"/>
            <w:u w:val="single"/>
            <w:vertAlign w:val="baseline"/>
          </w:rPr>
          <w:t>, 78 Ohio St. 3d 134, 162, 1997 Ohio 219, 677 N.E.2d 308 (1997)</w:t>
        </w:r>
      </w:hyperlink>
      <w:r>
        <w:rPr>
          <w:rFonts w:ascii="arial" w:eastAsia="arial" w:hAnsi="arial" w:cs="arial"/>
          <w:b w:val="0"/>
          <w:i w:val="0"/>
          <w:strike w:val="0"/>
          <w:noProof w:val="0"/>
          <w:color w:val="000000"/>
          <w:position w:val="0"/>
          <w:sz w:val="20"/>
          <w:u w:val="none"/>
          <w:vertAlign w:val="baseline"/>
        </w:rPr>
        <w:t xml:space="preserve">; </w:t>
      </w:r>
      <w:bookmarkStart w:id="72" w:name="Bookmark_I5PT96972HM6840050000400"/>
      <w:bookmarkEnd w:id="72"/>
      <w:hyperlink r:id="rId31" w:history="1">
        <w:r>
          <w:rPr>
            <w:rFonts w:ascii="arial" w:eastAsia="arial" w:hAnsi="arial" w:cs="arial"/>
            <w:b w:val="0"/>
            <w:i/>
            <w:strike w:val="0"/>
            <w:noProof w:val="0"/>
            <w:color w:val="0077CC"/>
            <w:position w:val="0"/>
            <w:sz w:val="20"/>
            <w:u w:val="single"/>
            <w:vertAlign w:val="baseline"/>
          </w:rPr>
          <w:t>Hale v. Volunteers of America</w:t>
        </w:r>
      </w:hyperlink>
      <w:hyperlink r:id="rId31" w:history="1">
        <w:r>
          <w:rPr>
            <w:rFonts w:ascii="arial" w:eastAsia="arial" w:hAnsi="arial" w:cs="arial"/>
            <w:b w:val="0"/>
            <w:i/>
            <w:strike w:val="0"/>
            <w:noProof w:val="0"/>
            <w:color w:val="0077CC"/>
            <w:position w:val="0"/>
            <w:sz w:val="20"/>
            <w:u w:val="single"/>
            <w:vertAlign w:val="baseline"/>
          </w:rPr>
          <w:t>, 1st Dist. Hamilton No. C-020839, 158 Ohio App. 3d 415, 424, 2004 Ohio 4508, 816 N.E.2d 259</w:t>
        </w:r>
      </w:hyperlink>
      <w:r>
        <w:rPr>
          <w:rFonts w:ascii="arial" w:eastAsia="arial" w:hAnsi="arial" w:cs="arial"/>
          <w:b w:val="0"/>
          <w:i w:val="0"/>
          <w:strike w:val="0"/>
          <w:noProof w:val="0"/>
          <w:color w:val="000000"/>
          <w:position w:val="0"/>
          <w:sz w:val="20"/>
          <w:u w:val="none"/>
          <w:vertAlign w:val="baseline"/>
        </w:rPr>
        <w:t xml:space="preserve">)). "While an at-will employee may maintain a common-law public-policy claim regardless of whether she complied with the strict requirements of </w:t>
      </w:r>
      <w:hyperlink r:id="rId28" w:history="1">
        <w:r>
          <w:rPr>
            <w:rFonts w:ascii="arial" w:eastAsia="arial" w:hAnsi="arial" w:cs="arial"/>
            <w:b w:val="0"/>
            <w:i/>
            <w:strike w:val="0"/>
            <w:noProof w:val="0"/>
            <w:color w:val="0077CC"/>
            <w:position w:val="0"/>
            <w:sz w:val="20"/>
            <w:u w:val="single"/>
            <w:vertAlign w:val="baseline"/>
          </w:rPr>
          <w:t>§ 4113.52</w:t>
        </w:r>
      </w:hyperlink>
      <w:r>
        <w:rPr>
          <w:rFonts w:ascii="arial" w:eastAsia="arial" w:hAnsi="arial" w:cs="arial"/>
          <w:b w:val="0"/>
          <w:i w:val="0"/>
          <w:strike w:val="0"/>
          <w:noProof w:val="0"/>
          <w:color w:val="000000"/>
          <w:position w:val="0"/>
          <w:sz w:val="20"/>
          <w:u w:val="none"/>
          <w:vertAlign w:val="baseline"/>
        </w:rPr>
        <w:t xml:space="preserve">, to do so she must identify 'a source of public policy separate from the public policy embodied in </w:t>
      </w:r>
      <w:hyperlink r:id="rId28" w:history="1">
        <w:r>
          <w:rPr>
            <w:rFonts w:ascii="arial" w:eastAsia="arial" w:hAnsi="arial" w:cs="arial"/>
            <w:b w:val="0"/>
            <w:i/>
            <w:strike w:val="0"/>
            <w:noProof w:val="0"/>
            <w:color w:val="0077CC"/>
            <w:position w:val="0"/>
            <w:sz w:val="20"/>
            <w:u w:val="single"/>
            <w:vertAlign w:val="baseline"/>
          </w:rPr>
          <w:t>[§ 4113.52</w:t>
        </w:r>
      </w:hyperlink>
      <w:r>
        <w:rPr>
          <w:rFonts w:ascii="arial" w:eastAsia="arial" w:hAnsi="arial" w:cs="arial"/>
          <w:b w:val="0"/>
          <w:i w:val="0"/>
          <w:strike w:val="0"/>
          <w:noProof w:val="0"/>
          <w:color w:val="000000"/>
          <w:position w:val="0"/>
          <w:sz w:val="20"/>
          <w:u w:val="none"/>
          <w:vertAlign w:val="baseline"/>
        </w:rPr>
        <w:t xml:space="preserve">].'" </w:t>
      </w:r>
      <w:bookmarkStart w:id="73" w:name="Bookmark_I5PT96972D6NJ60020000400"/>
      <w:bookmarkEnd w:id="73"/>
      <w:hyperlink r:id="rId29" w:history="1">
        <w:r>
          <w:rPr>
            <w:rFonts w:ascii="arial" w:eastAsia="arial" w:hAnsi="arial" w:cs="arial"/>
            <w:b w:val="0"/>
            <w:i/>
            <w:strike w:val="0"/>
            <w:noProof w:val="0"/>
            <w:color w:val="0077CC"/>
            <w:position w:val="0"/>
            <w:sz w:val="20"/>
            <w:u w:val="single"/>
            <w:vertAlign w:val="baseline"/>
          </w:rPr>
          <w:t>Seig</w:t>
        </w:r>
      </w:hyperlink>
      <w:hyperlink r:id="rId29" w:history="1">
        <w:r>
          <w:rPr>
            <w:rFonts w:ascii="arial" w:eastAsia="arial" w:hAnsi="arial" w:cs="arial"/>
            <w:b w:val="0"/>
            <w:i/>
            <w:strike w:val="0"/>
            <w:noProof w:val="0"/>
            <w:color w:val="0077CC"/>
            <w:position w:val="0"/>
            <w:sz w:val="20"/>
            <w:u w:val="single"/>
            <w:vertAlign w:val="baseline"/>
          </w:rPr>
          <w:t>, 2015 U.S. Dist. LEXIS 29193, at *27</w:t>
        </w:r>
      </w:hyperlink>
      <w:r>
        <w:rPr>
          <w:rFonts w:ascii="arial" w:eastAsia="arial" w:hAnsi="arial" w:cs="arial"/>
          <w:b w:val="0"/>
          <w:i w:val="0"/>
          <w:strike w:val="0"/>
          <w:noProof w:val="0"/>
          <w:color w:val="000000"/>
          <w:position w:val="0"/>
          <w:sz w:val="20"/>
          <w:u w:val="none"/>
          <w:vertAlign w:val="baseline"/>
        </w:rPr>
        <w:t xml:space="preserve"> (citing </w:t>
      </w:r>
      <w:bookmarkStart w:id="74" w:name="Bookmark_I5PT96972D6NJ60040000400"/>
      <w:bookmarkEnd w:id="74"/>
      <w:hyperlink r:id="rId30" w:history="1">
        <w:r>
          <w:rPr>
            <w:rFonts w:ascii="arial" w:eastAsia="arial" w:hAnsi="arial" w:cs="arial"/>
            <w:b w:val="0"/>
            <w:i/>
            <w:strike w:val="0"/>
            <w:noProof w:val="0"/>
            <w:color w:val="0077CC"/>
            <w:position w:val="0"/>
            <w:sz w:val="20"/>
            <w:u w:val="single"/>
            <w:vertAlign w:val="baseline"/>
          </w:rPr>
          <w:t>Kulch</w:t>
        </w:r>
      </w:hyperlink>
      <w:hyperlink r:id="rId30" w:history="1">
        <w:r>
          <w:rPr>
            <w:rFonts w:ascii="arial" w:eastAsia="arial" w:hAnsi="arial" w:cs="arial"/>
            <w:b w:val="0"/>
            <w:i/>
            <w:strike w:val="0"/>
            <w:noProof w:val="0"/>
            <w:color w:val="0077CC"/>
            <w:position w:val="0"/>
            <w:sz w:val="20"/>
            <w:u w:val="single"/>
            <w:vertAlign w:val="baseline"/>
          </w:rPr>
          <w:t>, 78 Ohio St. 3d at 162</w:t>
        </w:r>
      </w:hyperlink>
      <w:r>
        <w:rPr>
          <w:rFonts w:ascii="arial" w:eastAsia="arial" w:hAnsi="arial" w:cs="arial"/>
          <w:b w:val="0"/>
          <w:i w:val="0"/>
          <w:strike w:val="0"/>
          <w:noProof w:val="0"/>
          <w:color w:val="000000"/>
          <w:position w:val="0"/>
          <w:sz w:val="20"/>
          <w:u w:val="none"/>
          <w:vertAlign w:val="baseline"/>
        </w:rPr>
        <w:t xml:space="preserve">; </w:t>
      </w:r>
      <w:bookmarkStart w:id="75" w:name="Bookmark_I5PT96972N1PTN0010000400"/>
      <w:bookmarkEnd w:id="75"/>
      <w:hyperlink r:id="rId31" w:history="1">
        <w:r>
          <w:rPr>
            <w:rFonts w:ascii="arial" w:eastAsia="arial" w:hAnsi="arial" w:cs="arial"/>
            <w:b w:val="0"/>
            <w:i/>
            <w:strike w:val="0"/>
            <w:noProof w:val="0"/>
            <w:color w:val="0077CC"/>
            <w:position w:val="0"/>
            <w:sz w:val="20"/>
            <w:u w:val="single"/>
            <w:vertAlign w:val="baseline"/>
          </w:rPr>
          <w:t>Hale</w:t>
        </w:r>
      </w:hyperlink>
      <w:hyperlink r:id="rId31" w:history="1">
        <w:r>
          <w:rPr>
            <w:rFonts w:ascii="arial" w:eastAsia="arial" w:hAnsi="arial" w:cs="arial"/>
            <w:b w:val="0"/>
            <w:i/>
            <w:strike w:val="0"/>
            <w:noProof w:val="0"/>
            <w:color w:val="0077CC"/>
            <w:position w:val="0"/>
            <w:sz w:val="20"/>
            <w:u w:val="single"/>
            <w:vertAlign w:val="baseline"/>
          </w:rPr>
          <w:t>, 158 Ohio App. 3d at 425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6" w:name="Bookmark_para_15"/>
      <w:bookmarkEnd w:id="76"/>
      <w:bookmarkStart w:id="77" w:name="Bookmark_I5PT96972N1PTN0040000400"/>
      <w:bookmarkEnd w:id="77"/>
      <w:bookmarkStart w:id="78" w:name="Bookmark_I5PT96972HM6850010000400"/>
      <w:bookmarkEnd w:id="78"/>
      <w:r>
        <w:rPr>
          <w:rFonts w:ascii="arial" w:eastAsia="arial" w:hAnsi="arial" w:cs="arial"/>
          <w:b w:val="0"/>
          <w:i w:val="0"/>
          <w:strike w:val="0"/>
          <w:noProof w:val="0"/>
          <w:color w:val="000000"/>
          <w:position w:val="0"/>
          <w:sz w:val="20"/>
          <w:u w:val="none"/>
          <w:vertAlign w:val="baseline"/>
        </w:rPr>
        <w:t xml:space="preserve">No Ohio case, from the Supreme Court of Ohio or otherwise, has squarely addressed whether terminating an employee for complaining about alleged violations of the Robinson-Patman Act violates a "clear public policy manifested in state or federal law" on which a common-law public-policy claim may be premised. </w:t>
      </w:r>
      <w:bookmarkStart w:id="79" w:name="Bookmark_I705PY2K2100009MWN20000D"/>
      <w:bookmarkEnd w:id="79"/>
      <w:bookmarkStart w:id="80" w:name="Bookmark_I5PT96972HM6850030000400"/>
      <w:bookmarkEnd w:id="80"/>
      <w:r>
        <w:rPr>
          <w:rFonts w:ascii="arial" w:eastAsia="arial" w:hAnsi="arial" w:cs="arial"/>
          <w:b w:val="0"/>
          <w:i w:val="0"/>
          <w:strike w:val="0"/>
          <w:noProof w:val="0"/>
          <w:color w:val="000000"/>
          <w:position w:val="0"/>
          <w:sz w:val="20"/>
          <w:u w:val="none"/>
          <w:vertAlign w:val="baseline"/>
        </w:rPr>
        <w:t>Therefore, this Court must determine whether the Supreme Court of Ohio would recognize such a termination as a violation of "clear public policy." The undersigned has previously recognized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that "courts in Ohio have not unanimously defined the breadth of the public policy exception." </w:t>
      </w:r>
      <w:bookmarkStart w:id="81" w:name="Bookmark_I5PT96972N1PTN0030000400"/>
      <w:bookmarkEnd w:id="81"/>
      <w:hyperlink r:id="rId21" w:history="1">
        <w:r>
          <w:rPr>
            <w:rFonts w:ascii="arial" w:eastAsia="arial" w:hAnsi="arial" w:cs="arial"/>
            <w:b w:val="0"/>
            <w:i/>
            <w:strike w:val="0"/>
            <w:noProof w:val="0"/>
            <w:color w:val="0077CC"/>
            <w:position w:val="0"/>
            <w:sz w:val="20"/>
            <w:u w:val="single"/>
            <w:vertAlign w:val="baseline"/>
          </w:rPr>
          <w:t>Mercy Health Partners</w:t>
        </w:r>
      </w:hyperlink>
      <w:hyperlink r:id="rId21" w:history="1">
        <w:r>
          <w:rPr>
            <w:rFonts w:ascii="arial" w:eastAsia="arial" w:hAnsi="arial" w:cs="arial"/>
            <w:b w:val="0"/>
            <w:i/>
            <w:strike w:val="0"/>
            <w:noProof w:val="0"/>
            <w:color w:val="0077CC"/>
            <w:position w:val="0"/>
            <w:sz w:val="20"/>
            <w:u w:val="single"/>
            <w:vertAlign w:val="baseline"/>
          </w:rPr>
          <w:t>, 20 F. Supp. 3d at 638</w:t>
        </w:r>
      </w:hyperlink>
      <w:r>
        <w:rPr>
          <w:rFonts w:ascii="arial" w:eastAsia="arial" w:hAnsi="arial" w:cs="arial"/>
          <w:b w:val="0"/>
          <w:i w:val="0"/>
          <w:strike w:val="0"/>
          <w:noProof w:val="0"/>
          <w:color w:val="000000"/>
          <w:position w:val="0"/>
          <w:sz w:val="20"/>
          <w:u w:val="none"/>
          <w:vertAlign w:val="baseline"/>
        </w:rPr>
        <w:t xml:space="preserve"> (dismissing wrongful termination claim). However, in </w:t>
      </w:r>
      <w:r>
        <w:rPr>
          <w:rFonts w:ascii="arial" w:eastAsia="arial" w:hAnsi="arial" w:cs="arial"/>
          <w:b w:val="0"/>
          <w:i/>
          <w:strike w:val="0"/>
          <w:noProof w:val="0"/>
          <w:color w:val="000000"/>
          <w:position w:val="0"/>
          <w:sz w:val="20"/>
          <w:u w:val="none"/>
          <w:vertAlign w:val="baseline"/>
        </w:rPr>
        <w:t>Mercy Health Partners</w:t>
      </w:r>
      <w:r>
        <w:rPr>
          <w:rFonts w:ascii="arial" w:eastAsia="arial" w:hAnsi="arial" w:cs="arial"/>
          <w:b w:val="0"/>
          <w:i w:val="0"/>
          <w:strike w:val="0"/>
          <w:noProof w:val="0"/>
          <w:color w:val="000000"/>
          <w:position w:val="0"/>
          <w:sz w:val="20"/>
          <w:u w:val="none"/>
          <w:vertAlign w:val="baseline"/>
        </w:rPr>
        <w:t xml:space="preserve">, the Sixth Circuit affirmed this Court's dismissal and interpretation of Ohio law, reasoning that "[t]he district court correctly noted that Ohio courts require that a plaintiff's claimed policy parallel Ohio's whistleblower statute, </w:t>
      </w:r>
      <w:hyperlink r:id="rId28" w:history="1">
        <w:r>
          <w:rPr>
            <w:rFonts w:ascii="arial" w:eastAsia="arial" w:hAnsi="arial" w:cs="arial"/>
            <w:b w:val="0"/>
            <w:i/>
            <w:strike w:val="0"/>
            <w:noProof w:val="0"/>
            <w:color w:val="0077CC"/>
            <w:position w:val="0"/>
            <w:sz w:val="20"/>
            <w:u w:val="single"/>
            <w:vertAlign w:val="baseline"/>
          </w:rPr>
          <w:t>Ohio Revised Code § 4113.52</w:t>
        </w:r>
      </w:hyperlink>
      <w:r>
        <w:rPr>
          <w:rFonts w:ascii="arial" w:eastAsia="arial" w:hAnsi="arial" w:cs="arial"/>
          <w:b w:val="0"/>
          <w:i w:val="0"/>
          <w:strike w:val="0"/>
          <w:noProof w:val="0"/>
          <w:color w:val="000000"/>
          <w:position w:val="0"/>
          <w:sz w:val="20"/>
          <w:u w:val="none"/>
          <w:vertAlign w:val="baseline"/>
        </w:rPr>
        <w:t xml:space="preserve">." </w:t>
      </w:r>
      <w:bookmarkStart w:id="82" w:name="Bookmark_I5PT96972N1PTN0050000400"/>
      <w:bookmarkEnd w:id="82"/>
      <w:hyperlink r:id="rId22" w:history="1">
        <w:r>
          <w:rPr>
            <w:rFonts w:ascii="arial" w:eastAsia="arial" w:hAnsi="arial" w:cs="arial"/>
            <w:b w:val="0"/>
            <w:i/>
            <w:strike w:val="0"/>
            <w:noProof w:val="0"/>
            <w:color w:val="0077CC"/>
            <w:position w:val="0"/>
            <w:sz w:val="20"/>
            <w:u w:val="single"/>
            <w:vertAlign w:val="baseline"/>
          </w:rPr>
          <w:t>Mercy Health Partners</w:t>
        </w:r>
      </w:hyperlink>
      <w:hyperlink r:id="rId22" w:history="1">
        <w:r>
          <w:rPr>
            <w:rFonts w:ascii="arial" w:eastAsia="arial" w:hAnsi="arial" w:cs="arial"/>
            <w:b w:val="0"/>
            <w:i/>
            <w:strike w:val="0"/>
            <w:noProof w:val="0"/>
            <w:color w:val="0077CC"/>
            <w:position w:val="0"/>
            <w:sz w:val="20"/>
            <w:u w:val="single"/>
            <w:vertAlign w:val="baseline"/>
          </w:rPr>
          <w:t>, 617 Fed. Appx. at 403</w:t>
        </w:r>
      </w:hyperlink>
      <w:r>
        <w:rPr>
          <w:rFonts w:ascii="arial" w:eastAsia="arial" w:hAnsi="arial" w:cs="arial"/>
          <w:b w:val="0"/>
          <w:i w:val="0"/>
          <w:strike w:val="0"/>
          <w:noProof w:val="0"/>
          <w:color w:val="000000"/>
          <w:position w:val="0"/>
          <w:sz w:val="20"/>
          <w:u w:val="none"/>
          <w:vertAlign w:val="baseline"/>
        </w:rPr>
        <w:t xml:space="preserve">. </w:t>
      </w:r>
      <w:bookmarkStart w:id="83" w:name="Bookmark_I5PT96972HM6850030000400_2"/>
      <w:bookmarkEnd w:id="83"/>
      <w:bookmarkStart w:id="84" w:name="Bookmark_I5PT969728T4T60020000400"/>
      <w:bookmarkEnd w:id="84"/>
      <w:r>
        <w:rPr>
          <w:rFonts w:ascii="arial" w:eastAsia="arial" w:hAnsi="arial" w:cs="arial"/>
          <w:b w:val="0"/>
          <w:i w:val="0"/>
          <w:strike w:val="0"/>
          <w:noProof w:val="0"/>
          <w:color w:val="000000"/>
          <w:position w:val="0"/>
          <w:sz w:val="20"/>
          <w:u w:val="none"/>
          <w:vertAlign w:val="baseline"/>
        </w:rPr>
        <w:t xml:space="preserve">The Sixth Circuit held that, "[t]o parallel that statute, the policy on which the plaintiff relies must (1) impose an affirmative duty on the employee to report a violation, [(2)] specifically prohibit[] employers from retaliating against employees who had filed complaints, or [(3)] protect[] the public's health and safety." </w:t>
      </w:r>
      <w:bookmarkStart w:id="85" w:name="Bookmark_I5PT96972HM6850020000400"/>
      <w:bookmarkEnd w:id="85"/>
      <w:hyperlink r:id="rId22"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(citing </w:t>
      </w:r>
      <w:bookmarkStart w:id="86" w:name="Bookmark_I5PT96972HM6850040000400"/>
      <w:bookmarkEnd w:id="86"/>
      <w:hyperlink r:id="rId32" w:history="1">
        <w:r>
          <w:rPr>
            <w:rFonts w:ascii="arial" w:eastAsia="arial" w:hAnsi="arial" w:cs="arial"/>
            <w:b w:val="0"/>
            <w:i/>
            <w:strike w:val="0"/>
            <w:noProof w:val="0"/>
            <w:color w:val="0077CC"/>
            <w:position w:val="0"/>
            <w:sz w:val="20"/>
            <w:u w:val="single"/>
            <w:vertAlign w:val="baseline"/>
          </w:rPr>
          <w:t>Dean v. Consol. Equities Realty # 3, LLC</w:t>
        </w:r>
      </w:hyperlink>
      <w:hyperlink r:id="rId32" w:history="1">
        <w:r>
          <w:rPr>
            <w:rFonts w:ascii="arial" w:eastAsia="arial" w:hAnsi="arial" w:cs="arial"/>
            <w:b w:val="0"/>
            <w:i/>
            <w:strike w:val="0"/>
            <w:noProof w:val="0"/>
            <w:color w:val="0077CC"/>
            <w:position w:val="0"/>
            <w:sz w:val="20"/>
            <w:u w:val="single"/>
            <w:vertAlign w:val="baseline"/>
          </w:rPr>
          <w:t>, 1st Dist. Hamilton No. C-080931, 182 Ohio App. 3d 725, 729, 2009-Ohio-2480, P11, 914 N.E.2d 1109, 1112))</w:t>
        </w:r>
      </w:hyperlink>
      <w:r>
        <w:rPr>
          <w:rFonts w:ascii="arial" w:eastAsia="arial" w:hAnsi="arial" w:cs="arial"/>
          <w:b w:val="0"/>
          <w:i w:val="0"/>
          <w:strike w:val="0"/>
          <w:noProof w:val="0"/>
          <w:color w:val="000000"/>
          <w:position w:val="0"/>
          <w:sz w:val="20"/>
          <w:u w:val="none"/>
          <w:vertAlign w:val="baseline"/>
        </w:rPr>
        <w:t xml:space="preserve">. </w:t>
      </w:r>
      <w:bookmarkStart w:id="87" w:name="Bookmark_I5PT969728T4T60020000400_2"/>
      <w:bookmarkEnd w:id="87"/>
      <w:r>
        <w:rPr>
          <w:rFonts w:ascii="arial" w:eastAsia="arial" w:hAnsi="arial" w:cs="arial"/>
          <w:b w:val="0"/>
          <w:i w:val="0"/>
          <w:strike w:val="0"/>
          <w:noProof w:val="0"/>
          <w:color w:val="000000"/>
          <w:position w:val="0"/>
          <w:sz w:val="20"/>
          <w:u w:val="none"/>
          <w:vertAlign w:val="baseline"/>
        </w:rPr>
        <w:t xml:space="preserve">Applying the foregoing standard in </w:t>
      </w:r>
      <w:r>
        <w:rPr>
          <w:rFonts w:ascii="arial" w:eastAsia="arial" w:hAnsi="arial" w:cs="arial"/>
          <w:b w:val="0"/>
          <w:i/>
          <w:strike w:val="0"/>
          <w:noProof w:val="0"/>
          <w:color w:val="000000"/>
          <w:position w:val="0"/>
          <w:sz w:val="20"/>
          <w:u w:val="none"/>
          <w:vertAlign w:val="baseline"/>
        </w:rPr>
        <w:t>Mercy Health Partners</w:t>
      </w:r>
      <w:r>
        <w:rPr>
          <w:rFonts w:ascii="arial" w:eastAsia="arial" w:hAnsi="arial" w:cs="arial"/>
          <w:b w:val="0"/>
          <w:i w:val="0"/>
          <w:strike w:val="0"/>
          <w:noProof w:val="0"/>
          <w:color w:val="000000"/>
          <w:position w:val="0"/>
          <w:sz w:val="20"/>
          <w:u w:val="none"/>
          <w:vertAlign w:val="baseline"/>
        </w:rPr>
        <w:t xml:space="preserve">, the Sixth Circuit determined that an Ohio administrative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requiring that institutional pharmacies "maintain proper transport and record-keeping processes to ensure [] narcotics are properly accounted for by the pharmacies" did not parallel the whistleblower statute. </w:t>
      </w:r>
      <w:bookmarkStart w:id="88" w:name="Bookmark_I5PT969728T4T60010000400"/>
      <w:bookmarkEnd w:id="88"/>
      <w:hyperlink r:id="rId22" w:history="1">
        <w:r>
          <w:rPr>
            <w:rFonts w:ascii="arial" w:eastAsia="arial" w:hAnsi="arial" w:cs="arial"/>
            <w:b w:val="0"/>
            <w:i/>
            <w:strike w:val="0"/>
            <w:noProof w:val="0"/>
            <w:color w:val="0077CC"/>
            <w:position w:val="0"/>
            <w:sz w:val="20"/>
            <w:u w:val="single"/>
            <w:vertAlign w:val="baseline"/>
          </w:rPr>
          <w:t>Mercy Health Partners</w:t>
        </w:r>
      </w:hyperlink>
      <w:hyperlink r:id="rId22" w:history="1">
        <w:r>
          <w:rPr>
            <w:rFonts w:ascii="arial" w:eastAsia="arial" w:hAnsi="arial" w:cs="arial"/>
            <w:b w:val="0"/>
            <w:i/>
            <w:strike w:val="0"/>
            <w:noProof w:val="0"/>
            <w:color w:val="0077CC"/>
            <w:position w:val="0"/>
            <w:sz w:val="20"/>
            <w:u w:val="single"/>
            <w:vertAlign w:val="baseline"/>
          </w:rPr>
          <w:t>, 617 Fed. Appx. at 403</w:t>
        </w:r>
      </w:hyperlink>
      <w:r>
        <w:rPr>
          <w:rFonts w:ascii="arial" w:eastAsia="arial" w:hAnsi="arial" w:cs="arial"/>
          <w:b w:val="0"/>
          <w:i w:val="0"/>
          <w:strike w:val="0"/>
          <w:noProof w:val="0"/>
          <w:color w:val="000000"/>
          <w:position w:val="0"/>
          <w:sz w:val="20"/>
          <w:u w:val="none"/>
          <w:vertAlign w:val="baseline"/>
        </w:rPr>
        <w:t xml:space="preserve">. The Sixth Circuit found that: (1)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did not require employees to report violations; (2)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did not prohibit employer retaliation; and (3)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did not specifically protect the public's health and safety, because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"merely impose[d] 'baseline technical requirements that [institutional pharmacies had] to satisfy to operate.'"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89" w:name="Bookmark_para_16"/>
      <w:bookmarkEnd w:id="89"/>
      <w:bookmarkStart w:id="90" w:name="Bookmark_I5PT969728T4T60040000400"/>
      <w:bookmarkEnd w:id="90"/>
      <w:r>
        <w:rPr>
          <w:rFonts w:ascii="arial" w:eastAsia="arial" w:hAnsi="arial" w:cs="arial"/>
          <w:b w:val="0"/>
          <w:i w:val="0"/>
          <w:strike w:val="0"/>
          <w:noProof w:val="0"/>
          <w:color w:val="000000"/>
          <w:position w:val="0"/>
          <w:sz w:val="20"/>
          <w:u w:val="none"/>
          <w:vertAlign w:val="baseline"/>
        </w:rPr>
        <w:t xml:space="preserve">After the Sixth Circuit's decision in </w:t>
      </w:r>
      <w:r>
        <w:rPr>
          <w:rFonts w:ascii="arial" w:eastAsia="arial" w:hAnsi="arial" w:cs="arial"/>
          <w:b w:val="0"/>
          <w:i/>
          <w:strike w:val="0"/>
          <w:noProof w:val="0"/>
          <w:color w:val="000000"/>
          <w:position w:val="0"/>
          <w:sz w:val="20"/>
          <w:u w:val="none"/>
          <w:vertAlign w:val="baseline"/>
        </w:rPr>
        <w:t>Mercy Health Partners</w:t>
      </w:r>
      <w:r>
        <w:rPr>
          <w:rFonts w:ascii="arial" w:eastAsia="arial" w:hAnsi="arial" w:cs="arial"/>
          <w:b w:val="0"/>
          <w:i w:val="0"/>
          <w:strike w:val="0"/>
          <w:noProof w:val="0"/>
          <w:color w:val="000000"/>
          <w:position w:val="0"/>
          <w:sz w:val="20"/>
          <w:u w:val="none"/>
          <w:vertAlign w:val="baseline"/>
        </w:rPr>
        <w:t xml:space="preserve">, the Supreme Court of Ohio accepted jurisdiction in an unrelated case in which the three-part standard reflected in </w:t>
      </w:r>
      <w:r>
        <w:rPr>
          <w:rFonts w:ascii="arial" w:eastAsia="arial" w:hAnsi="arial" w:cs="arial"/>
          <w:b w:val="0"/>
          <w:i/>
          <w:strike w:val="0"/>
          <w:noProof w:val="0"/>
          <w:color w:val="000000"/>
          <w:position w:val="0"/>
          <w:sz w:val="20"/>
          <w:u w:val="none"/>
          <w:vertAlign w:val="baseline"/>
        </w:rPr>
        <w:t>Dean</w:t>
      </w:r>
      <w:r>
        <w:rPr>
          <w:rFonts w:ascii="arial" w:eastAsia="arial" w:hAnsi="arial" w:cs="arial"/>
          <w:b w:val="0"/>
          <w:i w:val="0"/>
          <w:strike w:val="0"/>
          <w:noProof w:val="0"/>
          <w:color w:val="000000"/>
          <w:position w:val="0"/>
          <w:sz w:val="20"/>
          <w:u w:val="none"/>
          <w:vertAlign w:val="baseline"/>
        </w:rPr>
        <w:t xml:space="preserve"> was challenged; however, the Supreme Court of Ohio later dismissed the appeal as having been "improvidently accepted," specifically ordering that "the opinion of the court of appeals [] not be cited as authority except by the parties </w:t>
      </w:r>
      <w:r>
        <w:rPr>
          <w:rFonts w:ascii="arial" w:eastAsia="arial" w:hAnsi="arial" w:cs="arial"/>
          <w:b w:val="0"/>
          <w:i/>
          <w:strike w:val="0"/>
          <w:noProof w:val="0"/>
          <w:color w:val="000000"/>
          <w:position w:val="0"/>
          <w:sz w:val="20"/>
          <w:u w:val="none"/>
          <w:vertAlign w:val="baseline"/>
        </w:rPr>
        <w:t>inter se</w:t>
      </w:r>
      <w:r>
        <w:rPr>
          <w:rFonts w:ascii="arial" w:eastAsia="arial" w:hAnsi="arial" w:cs="arial"/>
          <w:b w:val="0"/>
          <w:i w:val="0"/>
          <w:strike w:val="0"/>
          <w:noProof w:val="0"/>
          <w:color w:val="000000"/>
          <w:position w:val="0"/>
          <w:sz w:val="20"/>
          <w:u w:val="none"/>
          <w:vertAlign w:val="baseline"/>
        </w:rPr>
        <w:t xml:space="preserve">." </w:t>
      </w:r>
      <w:bookmarkStart w:id="91" w:name="Bookmark_I5PT969728T4T60030000400"/>
      <w:bookmarkEnd w:id="91"/>
      <w:hyperlink r:id="rId33" w:history="1">
        <w:r>
          <w:rPr>
            <w:rFonts w:ascii="arial" w:eastAsia="arial" w:hAnsi="arial" w:cs="arial"/>
            <w:b w:val="0"/>
            <w:i/>
            <w:strike w:val="0"/>
            <w:noProof w:val="0"/>
            <w:color w:val="0077CC"/>
            <w:position w:val="0"/>
            <w:sz w:val="20"/>
            <w:u w:val="single"/>
            <w:vertAlign w:val="baseline"/>
          </w:rPr>
          <w:t>McGowan v. Medpace, Inc</w:t>
        </w:r>
      </w:hyperlink>
      <w:hyperlink r:id="rId33" w:history="1">
        <w:r>
          <w:rPr>
            <w:rFonts w:ascii="arial" w:eastAsia="arial" w:hAnsi="arial" w:cs="arial"/>
            <w:b w:val="0"/>
            <w:i/>
            <w:strike w:val="0"/>
            <w:noProof w:val="0"/>
            <w:color w:val="0077CC"/>
            <w:position w:val="0"/>
            <w:sz w:val="20"/>
            <w:u w:val="single"/>
            <w:vertAlign w:val="baseline"/>
          </w:rPr>
          <w:t>., 2017-Ohio-1340, P1-P2, 150 Ohio St. 3d 296, 81 N.E.3d 435, 2017 Ohio LEXIS 589, *1</w:t>
        </w:r>
      </w:hyperlink>
      <w:r>
        <w:rPr>
          <w:rFonts w:ascii="arial" w:eastAsia="arial" w:hAnsi="arial" w:cs="arial"/>
          <w:b w:val="0"/>
          <w:i w:val="0"/>
          <w:strike w:val="0"/>
          <w:noProof w:val="0"/>
          <w:color w:val="000000"/>
          <w:position w:val="0"/>
          <w:sz w:val="20"/>
          <w:u w:val="none"/>
          <w:vertAlign w:val="baseline"/>
        </w:rPr>
        <w:t xml:space="preserve">. </w:t>
      </w:r>
      <w:bookmarkStart w:id="92" w:name="Bookmark_I5PT96972D6NJ70010000400"/>
      <w:bookmarkEnd w:id="92"/>
      <w:r>
        <w:rPr>
          <w:rFonts w:ascii="arial" w:eastAsia="arial" w:hAnsi="arial" w:cs="arial"/>
          <w:b w:val="0"/>
          <w:i w:val="0"/>
          <w:strike w:val="0"/>
          <w:noProof w:val="0"/>
          <w:color w:val="000000"/>
          <w:position w:val="0"/>
          <w:sz w:val="20"/>
          <w:u w:val="none"/>
          <w:vertAlign w:val="baseline"/>
        </w:rPr>
        <w:t xml:space="preserve">The Supreme Court of Ohio did not explain why the </w:t>
      </w:r>
      <w:r>
        <w:rPr>
          <w:rFonts w:ascii="arial" w:eastAsia="arial" w:hAnsi="arial" w:cs="arial"/>
          <w:b w:val="0"/>
          <w:i/>
          <w:strike w:val="0"/>
          <w:noProof w:val="0"/>
          <w:color w:val="000000"/>
          <w:position w:val="0"/>
          <w:sz w:val="20"/>
          <w:u w:val="none"/>
          <w:vertAlign w:val="baseline"/>
        </w:rPr>
        <w:t>McGowan</w:t>
      </w:r>
      <w:r>
        <w:rPr>
          <w:rFonts w:ascii="arial" w:eastAsia="arial" w:hAnsi="arial" w:cs="arial"/>
          <w:b w:val="0"/>
          <w:i w:val="0"/>
          <w:strike w:val="0"/>
          <w:noProof w:val="0"/>
          <w:color w:val="000000"/>
          <w:position w:val="0"/>
          <w:sz w:val="20"/>
          <w:u w:val="none"/>
          <w:vertAlign w:val="baseline"/>
        </w:rPr>
        <w:t xml:space="preserve"> opinion may not be cited as authority. However, </w:t>
      </w:r>
      <w:r>
        <w:rPr>
          <w:rFonts w:ascii="arial" w:eastAsia="arial" w:hAnsi="arial" w:cs="arial"/>
          <w:b w:val="0"/>
          <w:i/>
          <w:strike w:val="0"/>
          <w:noProof w:val="0"/>
          <w:color w:val="000000"/>
          <w:position w:val="0"/>
          <w:sz w:val="20"/>
          <w:u w:val="none"/>
          <w:vertAlign w:val="baseline"/>
        </w:rPr>
        <w:t>McGowan</w:t>
      </w:r>
      <w:r>
        <w:rPr>
          <w:rFonts w:ascii="arial" w:eastAsia="arial" w:hAnsi="arial" w:cs="arial"/>
          <w:b w:val="0"/>
          <w:i w:val="0"/>
          <w:strike w:val="0"/>
          <w:noProof w:val="0"/>
          <w:color w:val="000000"/>
          <w:position w:val="0"/>
          <w:sz w:val="20"/>
          <w:u w:val="none"/>
          <w:vertAlign w:val="baseline"/>
        </w:rPr>
        <w:t xml:space="preserve"> presented an opportunity for the Supreme Court of Ohio to overrule the </w:t>
      </w:r>
      <w:r>
        <w:rPr>
          <w:rFonts w:ascii="arial" w:eastAsia="arial" w:hAnsi="arial" w:cs="arial"/>
          <w:b w:val="0"/>
          <w:i/>
          <w:strike w:val="0"/>
          <w:noProof w:val="0"/>
          <w:color w:val="000000"/>
          <w:position w:val="0"/>
          <w:sz w:val="20"/>
          <w:u w:val="none"/>
          <w:vertAlign w:val="baseline"/>
        </w:rPr>
        <w:t>Dean</w:t>
      </w:r>
      <w:r>
        <w:rPr>
          <w:rFonts w:ascii="arial" w:eastAsia="arial" w:hAnsi="arial" w:cs="arial"/>
          <w:b w:val="0"/>
          <w:i w:val="0"/>
          <w:strike w:val="0"/>
          <w:noProof w:val="0"/>
          <w:color w:val="000000"/>
          <w:position w:val="0"/>
          <w:sz w:val="20"/>
          <w:u w:val="none"/>
          <w:vertAlign w:val="baseline"/>
        </w:rPr>
        <w:t xml:space="preserve"> standard, and the highest court of Ohio chose not to do so. Thus, absent an opinion from the Supreme Court of Ohio expressly rejecting the </w:t>
      </w:r>
      <w:r>
        <w:rPr>
          <w:rFonts w:ascii="arial" w:eastAsia="arial" w:hAnsi="arial" w:cs="arial"/>
          <w:b w:val="0"/>
          <w:i/>
          <w:strike w:val="0"/>
          <w:noProof w:val="0"/>
          <w:color w:val="000000"/>
          <w:position w:val="0"/>
          <w:sz w:val="20"/>
          <w:u w:val="none"/>
          <w:vertAlign w:val="baseline"/>
        </w:rPr>
        <w:t>Dean</w:t>
      </w:r>
      <w:r>
        <w:rPr>
          <w:rFonts w:ascii="arial" w:eastAsia="arial" w:hAnsi="arial" w:cs="arial"/>
          <w:b w:val="0"/>
          <w:i w:val="0"/>
          <w:strike w:val="0"/>
          <w:noProof w:val="0"/>
          <w:color w:val="000000"/>
          <w:position w:val="0"/>
          <w:sz w:val="20"/>
          <w:u w:val="none"/>
          <w:vertAlign w:val="baseline"/>
        </w:rPr>
        <w:t xml:space="preserve"> standard, this Court will follow the interpretation of state law previously reached by its circuit. </w:t>
      </w:r>
      <w:bookmarkStart w:id="93" w:name="Bookmark_I5PT96972D6NJ70010000400_2"/>
      <w:bookmarkEnd w:id="93"/>
      <w:bookmarkStart w:id="94" w:name="Bookmark_I705PY2JR300009MWN20000B"/>
      <w:bookmarkEnd w:id="94"/>
      <w:bookmarkStart w:id="95" w:name="Bookmark_I5PT96972D6NJ70030000400"/>
      <w:bookmarkEnd w:id="95"/>
      <w:bookmarkStart w:id="96" w:name="Bookmark_I5PT969728T4T60050000400"/>
      <w:bookmarkEnd w:id="96"/>
      <w:hyperlink r:id="rId27" w:history="1">
        <w:r>
          <w:rPr>
            <w:rFonts w:ascii="arial" w:eastAsia="arial" w:hAnsi="arial" w:cs="arial"/>
            <w:b w:val="0"/>
            <w:i/>
            <w:strike w:val="0"/>
            <w:noProof w:val="0"/>
            <w:color w:val="0077CC"/>
            <w:position w:val="0"/>
            <w:sz w:val="20"/>
            <w:u w:val="single"/>
            <w:vertAlign w:val="baseline"/>
          </w:rPr>
          <w:t>MDL Active Duration Fund</w:t>
        </w:r>
      </w:hyperlink>
      <w:hyperlink r:id="rId27" w:history="1">
        <w:r>
          <w:rPr>
            <w:rFonts w:ascii="arial" w:eastAsia="arial" w:hAnsi="arial" w:cs="arial"/>
            <w:b w:val="0"/>
            <w:i/>
            <w:strike w:val="0"/>
            <w:noProof w:val="0"/>
            <w:color w:val="0077CC"/>
            <w:position w:val="0"/>
            <w:sz w:val="20"/>
            <w:u w:val="single"/>
            <w:vertAlign w:val="baseline"/>
          </w:rPr>
          <w:t>., 476 F. Supp. 2d at 828</w:t>
        </w:r>
      </w:hyperlink>
      <w:r>
        <w:rPr>
          <w:rFonts w:ascii="arial" w:eastAsia="arial" w:hAnsi="arial" w:cs="arial"/>
          <w:b w:val="0"/>
          <w:i w:val="0"/>
          <w:strike w:val="0"/>
          <w:noProof w:val="0"/>
          <w:color w:val="000000"/>
          <w:position w:val="0"/>
          <w:sz w:val="20"/>
          <w:u w:val="none"/>
          <w:vertAlign w:val="baseline"/>
        </w:rPr>
        <w:t xml:space="preserve">. </w:t>
      </w:r>
      <w:bookmarkStart w:id="97" w:name="Bookmark_I5PT96972D6NJ70030000400_2"/>
      <w:bookmarkEnd w:id="97"/>
      <w:r>
        <w:rPr>
          <w:rFonts w:ascii="arial" w:eastAsia="arial" w:hAnsi="arial" w:cs="arial"/>
          <w:b w:val="0"/>
          <w:i w:val="0"/>
          <w:strike w:val="0"/>
          <w:noProof w:val="0"/>
          <w:color w:val="000000"/>
          <w:position w:val="0"/>
          <w:sz w:val="20"/>
          <w:u w:val="none"/>
          <w:vertAlign w:val="baseline"/>
        </w:rPr>
        <w:t>Again, the Sixth</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Circuit has previously held that the three-part standard announced in </w:t>
      </w:r>
      <w:r>
        <w:rPr>
          <w:rFonts w:ascii="arial" w:eastAsia="arial" w:hAnsi="arial" w:cs="arial"/>
          <w:b w:val="0"/>
          <w:i/>
          <w:strike w:val="0"/>
          <w:noProof w:val="0"/>
          <w:color w:val="000000"/>
          <w:position w:val="0"/>
          <w:sz w:val="20"/>
          <w:u w:val="none"/>
          <w:vertAlign w:val="baseline"/>
        </w:rPr>
        <w:t>Dean</w:t>
      </w:r>
      <w:r>
        <w:rPr>
          <w:rFonts w:ascii="arial" w:eastAsia="arial" w:hAnsi="arial" w:cs="arial"/>
          <w:b w:val="0"/>
          <w:i w:val="0"/>
          <w:strike w:val="0"/>
          <w:noProof w:val="0"/>
          <w:color w:val="000000"/>
          <w:position w:val="0"/>
          <w:sz w:val="20"/>
          <w:u w:val="none"/>
          <w:vertAlign w:val="baseline"/>
        </w:rPr>
        <w:t xml:space="preserve"> governs. </w:t>
      </w:r>
      <w:bookmarkStart w:id="98" w:name="Bookmark_I5PT96972D6NJ70020000400"/>
      <w:bookmarkEnd w:id="98"/>
      <w:hyperlink r:id="rId22" w:history="1">
        <w:r>
          <w:rPr>
            <w:rFonts w:ascii="arial" w:eastAsia="arial" w:hAnsi="arial" w:cs="arial"/>
            <w:b w:val="0"/>
            <w:i/>
            <w:strike w:val="0"/>
            <w:noProof w:val="0"/>
            <w:color w:val="0077CC"/>
            <w:position w:val="0"/>
            <w:sz w:val="20"/>
            <w:u w:val="single"/>
            <w:vertAlign w:val="baseline"/>
          </w:rPr>
          <w:t>Mercy Health Partners</w:t>
        </w:r>
      </w:hyperlink>
      <w:hyperlink r:id="rId22" w:history="1">
        <w:r>
          <w:rPr>
            <w:rFonts w:ascii="arial" w:eastAsia="arial" w:hAnsi="arial" w:cs="arial"/>
            <w:b w:val="0"/>
            <w:i/>
            <w:strike w:val="0"/>
            <w:noProof w:val="0"/>
            <w:color w:val="0077CC"/>
            <w:position w:val="0"/>
            <w:sz w:val="20"/>
            <w:u w:val="single"/>
            <w:vertAlign w:val="baseline"/>
          </w:rPr>
          <w:t>, 617 Fed. Appx. at 403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9" w:name="Bookmark_para_17"/>
      <w:bookmarkEnd w:id="99"/>
      <w:r>
        <w:rPr>
          <w:rFonts w:ascii="arial" w:eastAsia="arial" w:hAnsi="arial" w:cs="arial"/>
          <w:b w:val="0"/>
          <w:i w:val="0"/>
          <w:strike w:val="0"/>
          <w:noProof w:val="0"/>
          <w:color w:val="000000"/>
          <w:position w:val="0"/>
          <w:sz w:val="20"/>
          <w:u w:val="none"/>
          <w:vertAlign w:val="baseline"/>
        </w:rPr>
        <w:t>Here, Plaintiff makes no argument that the Robinson-Patman Act requires employees to report violations. Likewise, Plaintiff makes no argument that the Robinson-Patman Act prohibits employer retaliation. Furthermore, the Court has been presented with no authority suggesting that the Robinson-Patman Act was enacted to protect the public's health and safety. Regardless of the legislative purpose of the Act, however, Plaintiff does not allege facts that suggest that Defendant's practices of which Plaintiff complained even incidentally affected the public's health and safety. Accordingly, Plaintiff's First Amended Complaint fails to state a plausible claim that her termination violated a clear public policy manifested in state or federal law.</w:t>
      </w:r>
    </w:p>
    <w:p>
      <w:pPr>
        <w:keepNext w:val="0"/>
        <w:widowControl w:val="0"/>
        <w:spacing w:before="200" w:after="0" w:line="260" w:lineRule="atLeast"/>
        <w:ind w:left="0" w:right="0" w:firstLine="0"/>
        <w:jc w:val="both"/>
      </w:pPr>
      <w:bookmarkStart w:id="100" w:name="Bookmark_para_18"/>
      <w:bookmarkEnd w:id="100"/>
      <w:r>
        <w:rPr>
          <w:rFonts w:ascii="arial" w:eastAsia="arial" w:hAnsi="arial" w:cs="arial"/>
          <w:b w:val="0"/>
          <w:i w:val="0"/>
          <w:strike w:val="0"/>
          <w:noProof w:val="0"/>
          <w:color w:val="000000"/>
          <w:position w:val="0"/>
          <w:sz w:val="20"/>
          <w:u w:val="none"/>
          <w:vertAlign w:val="baseline"/>
        </w:rPr>
        <w:t>With the failure of the clarity element, Plaintiff's entire public policy claim fails.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101" w:name="Bookmark_para_19"/>
      <w:bookmarkEnd w:id="101"/>
      <w:r>
        <w:rPr>
          <w:rFonts w:ascii="arial" w:eastAsia="arial" w:hAnsi="arial" w:cs="arial"/>
          <w:b w:val="0"/>
          <w:i w:val="0"/>
          <w:strike w:val="0"/>
          <w:noProof w:val="0"/>
          <w:color w:val="000000"/>
          <w:position w:val="0"/>
          <w:sz w:val="20"/>
          <w:u w:val="none"/>
          <w:vertAlign w:val="baseline"/>
        </w:rPr>
        <w:t xml:space="preserve">For the foregoing reasons, and consistent with the above, the Court </w:t>
      </w:r>
      <w:r>
        <w:rPr>
          <w:rFonts w:ascii="arial" w:eastAsia="arial" w:hAnsi="arial" w:cs="arial"/>
          <w:b/>
          <w:i w:val="0"/>
          <w:strike w:val="0"/>
          <w:noProof w:val="0"/>
          <w:color w:val="000000"/>
          <w:position w:val="0"/>
          <w:sz w:val="20"/>
          <w:u w:val="none"/>
          <w:vertAlign w:val="baseline"/>
        </w:rPr>
        <w:t>ORDERS</w:t>
      </w:r>
      <w:r>
        <w:rPr>
          <w:rFonts w:ascii="arial" w:eastAsia="arial" w:hAnsi="arial" w:cs="arial"/>
          <w:b w:val="0"/>
          <w:i w:val="0"/>
          <w:strike w:val="0"/>
          <w:noProof w:val="0"/>
          <w:color w:val="000000"/>
          <w:position w:val="0"/>
          <w:sz w:val="20"/>
          <w:u w:val="none"/>
          <w:vertAlign w:val="baseline"/>
        </w:rPr>
        <w:t xml:space="preserve"> as follows:</w:t>
      </w:r>
    </w:p>
    <w:p>
      <w:pPr>
        <w:keepNext w:val="0"/>
        <w:widowControl w:val="0"/>
        <w:spacing w:before="200" w:after="0" w:line="260" w:lineRule="atLeast"/>
        <w:ind w:left="400" w:right="0" w:firstLine="0"/>
        <w:jc w:val="both"/>
      </w:pPr>
      <w:bookmarkStart w:id="102" w:name="Bookmark_para_20"/>
      <w:bookmarkEnd w:id="102"/>
      <w:r>
        <w:rPr>
          <w:rFonts w:ascii="arial" w:eastAsia="arial" w:hAnsi="arial" w:cs="arial"/>
          <w:b w:val="0"/>
          <w:i w:val="0"/>
          <w:strike w:val="0"/>
          <w:noProof w:val="0"/>
          <w:color w:val="000000"/>
          <w:position w:val="0"/>
          <w:sz w:val="20"/>
          <w:u w:val="none"/>
          <w:vertAlign w:val="baseline"/>
        </w:rPr>
        <w:t xml:space="preserve">(1) Plaintiff's Motion for Leave to File First Amended Complaint with Jury Demand Endorsed Hereon (Doc. 14)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03" w:name="Bookmark_para_21"/>
      <w:bookmarkEnd w:id="103"/>
      <w:r>
        <w:rPr>
          <w:rFonts w:ascii="arial" w:eastAsia="arial" w:hAnsi="arial" w:cs="arial"/>
          <w:b w:val="0"/>
          <w:i w:val="0"/>
          <w:strike w:val="0"/>
          <w:noProof w:val="0"/>
          <w:color w:val="000000"/>
          <w:position w:val="0"/>
          <w:sz w:val="20"/>
          <w:u w:val="none"/>
          <w:vertAlign w:val="baseline"/>
        </w:rPr>
        <w:t>(2) Defendant's Motion for Judgment on the Pleadings (Doc. 15)</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with the Court entering judgment in favor of Defendant on the public policy claim; and</w:t>
      </w:r>
    </w:p>
    <w:p>
      <w:pPr>
        <w:keepNext w:val="0"/>
        <w:widowControl w:val="0"/>
        <w:spacing w:before="200" w:after="0" w:line="260" w:lineRule="atLeast"/>
        <w:ind w:left="400" w:right="0" w:firstLine="0"/>
        <w:jc w:val="both"/>
      </w:pPr>
      <w:bookmarkStart w:id="104" w:name="Bookmark_para_22"/>
      <w:bookmarkEnd w:id="104"/>
      <w:r>
        <w:rPr>
          <w:rFonts w:ascii="arial" w:eastAsia="arial" w:hAnsi="arial" w:cs="arial"/>
          <w:b w:val="0"/>
          <w:i w:val="0"/>
          <w:strike w:val="0"/>
          <w:noProof w:val="0"/>
          <w:color w:val="000000"/>
          <w:position w:val="0"/>
          <w:sz w:val="20"/>
          <w:u w:val="none"/>
          <w:vertAlign w:val="baseline"/>
        </w:rPr>
        <w:t xml:space="preserve">(3) Plaintiff's request that this case be stayed pending the Supreme Court of Ohio's ruling in </w:t>
      </w:r>
      <w:r>
        <w:rPr>
          <w:rFonts w:ascii="arial" w:eastAsia="arial" w:hAnsi="arial" w:cs="arial"/>
          <w:b w:val="0"/>
          <w:i/>
          <w:strike w:val="0"/>
          <w:noProof w:val="0"/>
          <w:color w:val="000000"/>
          <w:position w:val="0"/>
          <w:sz w:val="20"/>
          <w:u w:val="none"/>
          <w:vertAlign w:val="baseline"/>
        </w:rPr>
        <w:t>McGowan</w:t>
      </w:r>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i w:val="0"/>
          <w:strike w:val="0"/>
          <w:noProof w:val="0"/>
          <w:color w:val="000000"/>
          <w:position w:val="0"/>
          <w:sz w:val="20"/>
          <w:u w:val="none"/>
          <w:vertAlign w:val="baseline"/>
        </w:rPr>
        <w:t>DENIED AS MOOT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5" w:name="Bookmark_para_23"/>
      <w:bookmarkEnd w:id="105"/>
      <w:r>
        <w:rPr>
          <w:rFonts w:ascii="arial" w:eastAsia="arial" w:hAnsi="arial" w:cs="arial"/>
          <w:b w:val="0"/>
          <w:i w:val="0"/>
          <w:strike w:val="0"/>
          <w:noProof w:val="0"/>
          <w:color w:val="000000"/>
          <w:position w:val="0"/>
          <w:sz w:val="20"/>
          <w:u w:val="none"/>
          <w:vertAlign w:val="baseline"/>
        </w:rPr>
        <w:t>Although the First Amended Complaint (Doc. 14-1) is accepted for filing as of this date, Plaintiff shall refile it as a standalone pleading within five (5) days of entry of this Order.</w:t>
      </w:r>
    </w:p>
    <w:p>
      <w:pPr>
        <w:keepNext w:val="0"/>
        <w:widowControl w:val="0"/>
        <w:spacing w:before="200" w:after="0" w:line="260" w:lineRule="atLeast"/>
        <w:ind w:left="0" w:right="0" w:firstLine="0"/>
        <w:jc w:val="both"/>
      </w:pPr>
      <w:bookmarkStart w:id="106" w:name="Bookmark_para_24"/>
      <w:bookmarkEnd w:id="106"/>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7" w:name="Bookmark_para_25"/>
      <w:bookmarkEnd w:id="107"/>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val="0"/>
          <w:i/>
          <w:strike w:val="0"/>
          <w:noProof w:val="0"/>
          <w:color w:val="000000"/>
          <w:position w:val="0"/>
          <w:sz w:val="20"/>
          <w:u w:val="none"/>
          <w:vertAlign w:val="baseline"/>
        </w:rPr>
        <w:t>Michael R. Barrett</w:t>
      </w:r>
    </w:p>
    <w:p>
      <w:pPr>
        <w:keepNext w:val="0"/>
        <w:widowControl w:val="0"/>
        <w:spacing w:before="200" w:after="0" w:line="260" w:lineRule="atLeast"/>
        <w:ind w:left="0" w:right="0" w:firstLine="0"/>
        <w:jc w:val="both"/>
      </w:pPr>
      <w:bookmarkStart w:id="108" w:name="Bookmark_para_26"/>
      <w:bookmarkEnd w:id="108"/>
      <w:r>
        <w:rPr>
          <w:rFonts w:ascii="arial" w:eastAsia="arial" w:hAnsi="arial" w:cs="arial"/>
          <w:b w:val="0"/>
          <w:i w:val="0"/>
          <w:strike w:val="0"/>
          <w:noProof w:val="0"/>
          <w:color w:val="000000"/>
          <w:position w:val="0"/>
          <w:sz w:val="20"/>
          <w:u w:val="none"/>
          <w:vertAlign w:val="baseline"/>
        </w:rPr>
        <w:t>Hon. Michael R. Barrett</w:t>
      </w:r>
    </w:p>
    <w:p>
      <w:pPr>
        <w:keepNext w:val="0"/>
        <w:widowControl w:val="0"/>
        <w:spacing w:before="200" w:after="0" w:line="260" w:lineRule="atLeast"/>
        <w:ind w:left="0" w:right="0" w:firstLine="0"/>
        <w:jc w:val="both"/>
      </w:pPr>
      <w:bookmarkStart w:id="109" w:name="Bookmark_para_27"/>
      <w:bookmarkEnd w:id="109"/>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 xml:space="preserve">On July 24, 2017, the Court granted Defendant Tampico Beverages, Inc.'s Motion (Doc. 21; Doc. 22) to file supplemental authority regarding recent developments in </w:t>
      </w:r>
      <w:r>
        <w:rPr>
          <w:rFonts w:ascii="arial" w:eastAsia="arial" w:hAnsi="arial" w:cs="arial"/>
          <w:b w:val="0"/>
          <w:i/>
          <w:strike w:val="0"/>
          <w:noProof w:val="0"/>
          <w:color w:val="000000"/>
          <w:position w:val="0"/>
          <w:sz w:val="18"/>
          <w:u w:val="none"/>
          <w:vertAlign w:val="baseline"/>
        </w:rPr>
        <w:t>McGowan</w:t>
      </w:r>
      <w:r>
        <w:rPr>
          <w:rFonts w:ascii="arial" w:eastAsia="arial" w:hAnsi="arial" w:cs="arial"/>
          <w:b w:val="0"/>
          <w:i w:val="0"/>
          <w:strike w:val="0"/>
          <w:noProof w:val="0"/>
          <w:color w:val="000000"/>
          <w:position w:val="0"/>
          <w:sz w:val="18"/>
          <w:u w:val="none"/>
          <w:vertAlign w:val="baseline"/>
        </w:rPr>
        <w:t xml:space="preserve">, discussed </w:t>
      </w:r>
      <w:r>
        <w:rPr>
          <w:rFonts w:ascii="arial" w:eastAsia="arial" w:hAnsi="arial" w:cs="arial"/>
          <w:b w:val="0"/>
          <w:i/>
          <w:strike w:val="0"/>
          <w:noProof w:val="0"/>
          <w:color w:val="000000"/>
          <w:position w:val="0"/>
          <w:sz w:val="18"/>
          <w:u w:val="none"/>
          <w:vertAlign w:val="baseline"/>
        </w:rPr>
        <w:t>infra</w:t>
      </w:r>
      <w:r>
        <w:rPr>
          <w:rFonts w:ascii="arial" w:eastAsia="arial" w:hAnsi="arial" w:cs="arial"/>
          <w:b/>
          <w:i/>
          <w:strike w:val="0"/>
          <w:noProof w:val="0"/>
          <w:color w:val="000000"/>
          <w:position w:val="0"/>
          <w:sz w:val="18"/>
          <w:u w:val="none"/>
          <w:vertAlign w:val="baseline"/>
        </w:rPr>
        <w:t> [*3] </w:t>
      </w:r>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7" w:name="Bookmark_fnpara_2"/>
      <w:bookmarkEnd w:id="57"/>
      <w:r>
        <w:rPr>
          <w:rFonts w:ascii="arial" w:eastAsia="arial" w:hAnsi="arial" w:cs="arial"/>
          <w:b w:val="0"/>
          <w:i w:val="0"/>
          <w:strike w:val="0"/>
          <w:noProof w:val="0"/>
          <w:color w:val="000000"/>
          <w:position w:val="0"/>
          <w:sz w:val="18"/>
          <w:u w:val="none"/>
          <w:vertAlign w:val="baseline"/>
        </w:rPr>
        <w:t xml:space="preserve">In his Opposition, Plaintiff cites to various state and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statutes to support his argument that there is a "clear public policy in Ohio designed to promote fair markets and fair competition and to guard against discriminatory and anti-competitive pricing by a seller of like goods among his or her customers, and against discriminatory promotional services, as manifested in the federal Robinson-Patman Act and the state's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including the Valentine Act[.]" (Doc. 18; PageID# 131). Defendant correctly observes that: (1) "Plaintiff never pled the Valentine Act as a basis for his wrongful termination in the Complaint"; and (2) Plaintiff did not "allege that Tampico engaged in 'price fixing.'" (Doc. 20; PageID# 175). Defendant argues that "these and all such other allegations that are not made in the Complaint should be disregarded when ruling on Tampico's Motion for Judgment on the Pleadings."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The Court agrees, and thus bases this opinion only on the facts alleged in the First Amended Complaint.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Stromberger v. Tampico Bevs.,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4YF7-GSM1-NRF4-44BK-00000-00&amp;context=" TargetMode="External" /><Relationship Id="rId11" Type="http://schemas.openxmlformats.org/officeDocument/2006/relationships/hyperlink" Target="https://advance.lexis.com/api/document?collection=statutes-legislation&amp;id=urn:contentItem:5GYC-1WP1-6N19-F103-00000-00&amp;context=" TargetMode="External" /><Relationship Id="rId12" Type="http://schemas.openxmlformats.org/officeDocument/2006/relationships/hyperlink" Target="https://advance.lexis.com/api/document?collection=cases&amp;id=urn:contentItem:4VVP-TSR0-TXFX-82TN-00000-00&amp;context=" TargetMode="External" /><Relationship Id="rId13" Type="http://schemas.openxmlformats.org/officeDocument/2006/relationships/hyperlink" Target="https://advance.lexis.com/api/document?collection=cases&amp;id=urn:contentItem:41R3-BGF0-0038-X3J3-00000-00&amp;context=" TargetMode="External" /><Relationship Id="rId14" Type="http://schemas.openxmlformats.org/officeDocument/2006/relationships/hyperlink" Target="https://advance.lexis.com/api/document?collection=cases&amp;id=urn:contentItem:3S4X-H6D0-003B-S3WS-00000-00&amp;context=" TargetMode="External" /><Relationship Id="rId15" Type="http://schemas.openxmlformats.org/officeDocument/2006/relationships/hyperlink" Target="https://advance.lexis.com/api/document?collection=cases&amp;id=urn:contentItem:4TB7-SCK0-TX4N-G01W-00000-00&amp;context=" TargetMode="External" /><Relationship Id="rId16" Type="http://schemas.openxmlformats.org/officeDocument/2006/relationships/hyperlink" Target="https://advance.lexis.com/api/document?collection=cases&amp;id=urn:contentItem:4SJJ-G250-TXFX-82WK-00000-00&amp;context=" TargetMode="External" /><Relationship Id="rId17" Type="http://schemas.openxmlformats.org/officeDocument/2006/relationships/hyperlink" Target="https://advance.lexis.com/api/document?collection=cases&amp;id=urn:contentItem:4W10-M210-TXFX-83CX-00000-00&amp;context=" TargetMode="External" /><Relationship Id="rId18" Type="http://schemas.openxmlformats.org/officeDocument/2006/relationships/hyperlink" Target="https://advance.lexis.com/api/document?collection=cases&amp;id=urn:contentItem:4NSN-8840-004C-002M-00000-00&amp;context=" TargetMode="External" /><Relationship Id="rId19" Type="http://schemas.openxmlformats.org/officeDocument/2006/relationships/hyperlink" Target="https://advance.lexis.com/api/document?collection=cases&amp;id=urn:contentItem:4W9Y-4KS0-TXFX-1325-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RRS-NK00-008T-Y0GR-00000-00&amp;context=" TargetMode="External" /><Relationship Id="rId21" Type="http://schemas.openxmlformats.org/officeDocument/2006/relationships/hyperlink" Target="https://advance.lexis.com/api/document?collection=cases&amp;id=urn:contentItem:5C71-0XP1-F04F-10MP-00000-00&amp;context=" TargetMode="External" /><Relationship Id="rId22" Type="http://schemas.openxmlformats.org/officeDocument/2006/relationships/hyperlink" Target="https://advance.lexis.com/api/document?collection=cases&amp;id=urn:contentItem:5FRW-VYX1-F04K-P04P-00000-00&amp;context=" TargetMode="External" /><Relationship Id="rId23" Type="http://schemas.openxmlformats.org/officeDocument/2006/relationships/hyperlink" Target="https://advance.lexis.com/api/document?collection=cases&amp;id=urn:contentItem:3S3K-W0V0-003C-81B0-00000-00&amp;context=" TargetMode="External" /><Relationship Id="rId24" Type="http://schemas.openxmlformats.org/officeDocument/2006/relationships/hyperlink" Target="https://advance.lexis.com/api/document?collection=cases&amp;id=urn:contentItem:3S4X-DXJ0-001T-D1RP-00000-00&amp;context=" TargetMode="External" /><Relationship Id="rId25" Type="http://schemas.openxmlformats.org/officeDocument/2006/relationships/hyperlink" Target="https://advance.lexis.com/api/document?collection=cases&amp;id=urn:contentItem:3S4X-8PN0-003B-708F-00000-00&amp;context=" TargetMode="External" /><Relationship Id="rId26" Type="http://schemas.openxmlformats.org/officeDocument/2006/relationships/hyperlink" Target="https://advance.lexis.com/api/document?collection=cases&amp;id=urn:contentItem:52XW-2XJ1-652R-40WK-00000-00&amp;context=" TargetMode="External" /><Relationship Id="rId27" Type="http://schemas.openxmlformats.org/officeDocument/2006/relationships/hyperlink" Target="https://advance.lexis.com/api/document?collection=cases&amp;id=urn:contentItem:4MY8-F7V0-TVW7-72F5-00000-00&amp;context=" TargetMode="External" /><Relationship Id="rId28" Type="http://schemas.openxmlformats.org/officeDocument/2006/relationships/hyperlink" Target="https://advance.lexis.com/api/document?collection=statutes-legislation&amp;id=urn:contentItem:5D47-8MW1-6VDH-R48D-00000-00&amp;context=" TargetMode="External" /><Relationship Id="rId29" Type="http://schemas.openxmlformats.org/officeDocument/2006/relationships/hyperlink" Target="https://advance.lexis.com/api/document?collection=cases&amp;id=urn:contentItem:5FGK-5VD1-F04F-11KK-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RJN-2VK0-0039-408S-00000-00&amp;context=" TargetMode="External" /><Relationship Id="rId31" Type="http://schemas.openxmlformats.org/officeDocument/2006/relationships/hyperlink" Target="https://advance.lexis.com/api/document?collection=cases&amp;id=urn:contentItem:4D63-9210-0039-42TR-00000-00&amp;context=" TargetMode="External" /><Relationship Id="rId32" Type="http://schemas.openxmlformats.org/officeDocument/2006/relationships/hyperlink" Target="https://advance.lexis.com/api/document?collection=cases&amp;id=urn:contentItem:4WF5-8G90-TXFV-W226-00000-00&amp;context=" TargetMode="External" /><Relationship Id="rId33" Type="http://schemas.openxmlformats.org/officeDocument/2006/relationships/hyperlink" Target="https://advance.lexis.com/api/document?collection=cases&amp;id=urn:contentItem:5N9B-62H1-F04J-C0N7-00000-00&amp;context=" TargetMode="External" /><Relationship Id="rId34"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PM5-1JP1-F04F-12V8-00000-00&amp;context=" TargetMode="External" /><Relationship Id="rId9" Type="http://schemas.openxmlformats.org/officeDocument/2006/relationships/hyperlink" Target="https://advance.lexis.com/api/document?collection=statutes-legislation&amp;id=urn:contentItem:5GYC-1WP1-6N19-F0Y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Lazarek v. Ambit Energy Holdings,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71543050</vt:lpwstr>
  </property>
  <property fmtid="{D5CDD505-2E9C-101B-9397-08002B2CF9AE}" pid="3" name="LADocCount">
    <vt:lpwstr>1</vt:lpwstr>
  </property>
  <property fmtid="{D5CDD505-2E9C-101B-9397-08002B2CF9AE}" pid="4" name="UserPermID">
    <vt:lpwstr>urn:user:PA185916758</vt:lpwstr>
  </property>
</Properties>
</file>