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1057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005, Thursday, January 8,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1057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January 8,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The NASDAQ Stock Market LLC; Notice of Filing and Immediate Effectiveness of Proposed Rule Change to Impose a Minimum Fee for Execution Venues Operating a Trading Platform or Multiple Platforms That Utilize NASDAQ Proprietary Depth Data on a Non-Displayed Basis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34-73978; File No. SR-NASDAQ-2014-125]</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January 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January 2, 2015, The NASDAQ Stock Market LLC ("Nasdaq" or "Exchange") filed with the Securities and Exchange Commission ("SEC" or "Commission") the proposed rule change as described in Items I, II, and III,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impose a minimum fee for execution venues operating a trading platform or multiple platforms that utilize NASDAQ proprietary depth data on a non-displayed basis and that pay monthly aggregate NASDAQ market proprietary Depth-of-Book Data fees of less than $ 15,000.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text of the proposed rule change is below; proposed new language is in italics; proposed deletions are in brackets.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7023. NASDAQ Depth-of-Book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 applicable 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No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(7) The term "Trading Platform" shall mean any execution platform operated as or by a registered National Securities Exchange (as defined in Section 3(a)(1) of the Exchange Act), an Alternative Trading System (as defined in Rule 300(a)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ATS), or an Electronic Communications Network (as defined by Rule 600(b)(23)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NMS).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Trading Platform Fee. There shall be a minimum monthly fee for entities that operate Trading Platforms that utilize NASDAQ Depth-of-Book Data on a non-display basis and that pay less than $ 15,000 per month in aggregate fees for Depth-of-Book Data. The fee shall be $ 5,000 per month per Trading Platform up to a maximum of three Trading Platforms.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[(d)] 30-Day Free-Trial Offer: NASDAQ shall offer all new individual Subscribers and potential new individual Subscribers a 30-day waiver of the Subscriber fees for NASDAQ TotalView. This waiver shall not include the incremental fees assessed for the NASDAQ Level 2-only service[, which are $ 30 for Professional Subscribers and $ 9 for Non-Professional Subscribers per month]. This fee waiver period shall be applied on a rolling basis, determined by the date on which a new individual Subscriber or potential individual Subscriber is first entitled by a Distributor to receive access to NASDAQ TotalView. A Distributor may only provide this waiver to a specific </w:t>
      </w:r>
      <w:r>
        <w:rPr>
          <w:rFonts w:ascii="arial" w:eastAsia="arial" w:hAnsi="arial" w:cs="arial"/>
          <w:b/>
          <w:i w:val="0"/>
          <w:strike w:val="0"/>
          <w:noProof w:val="0"/>
          <w:color w:val="000000"/>
          <w:position w:val="0"/>
          <w:sz w:val="20"/>
          <w:u w:val="none"/>
          <w:vertAlign w:val="baseline"/>
        </w:rPr>
        <w:t> [*1058] </w:t>
      </w:r>
      <w:r>
        <w:rPr>
          <w:rFonts w:ascii="arial" w:eastAsia="arial" w:hAnsi="arial" w:cs="arial"/>
          <w:b w:val="0"/>
          <w:i w:val="0"/>
          <w:strike w:val="0"/>
          <w:noProof w:val="0"/>
          <w:color w:val="000000"/>
          <w:position w:val="0"/>
          <w:sz w:val="20"/>
          <w:u w:val="none"/>
          <w:vertAlign w:val="baseline"/>
        </w:rPr>
        <w:t xml:space="preserve"> individual Subscriber once. [For the period of the offer, the NASDAQ TotalView fee of $ 40 per Professional Subscriber and $ 5 per Non-Professional Subscriber per month shall be waived.]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[(e)] Historical ModelView Information: NASDAQ will make historical ModelView information available via NASDAQTrader.com. ModelView contains historical information regarding aggregate displayed and reserve liquidity at each price level directly from the NASDAQ Market Center. ModelView is available for a subscription fee of $ 2,000 per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is proposing to amend NASDAQ Rule 7023 (NASDAQ Depth-of-Book Data) to modify the fees governing the use of NASDAQ TotalView, NASDAQ OpenView and NASDAQ Level 2 Information (collectively, "NASDAQ Depth-of-Book Data") to increase the fairness and equity of the current fee schedule. Specifically, NASDAQ is amending Rule 7023(d) to establish a minimum level of fees for operators of Trading Platforms that utilize NASDAQ Depth-of-Book Data and that pay less than $ 15,000 per month for such usage. The Trading Platform Fee shall be $ 5,000 per month per Trading Platform up to a maximum of $ 15,000 per month, with such fees being offset once the total NASDAQ Depth-of-Book Data fees paid by such Trading Platform operator exceed $ 15,000 per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Effective January 1, 2015, NASDAQ will impose a fee for operators of Trading Platforms that currently utilize NASDAQ Depth-of-Book Data and that pay less than $ 15,000 per month for such usage. Trading Platforms include registered National Securities Exchanges, Alternative Trading Systems ("ATSs"), and Electronic Communications Networks ("ECNS") as those terms are defined in the Exchange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rules thereunder. The fee will be $ 5,000 per month per Trading Platform up to a maximum of three platforms operated by the same entity or affiliated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 will be assessed in addition to existing Distributor and Subscriber fees paid, but will be offset when the entity reaches the level of $ 15,000 per month. For example, if a Distributor already pays $ 15,000 or more in total monthly Distributor and Subscriber fees, the Trading Platform fee does not apply. Also, if a firm accrues $ 10,000 in Platform fees, and already pays $ 75,000 in Subscriber fees, the Distributor is responsible for the $ 75,000 fee and the Trading Platform fee does not apply. Additional scenarios are shown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Trading platform</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Nasdaq depth</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Nasdaq depth total</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trading</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non-display fee per</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platforms</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subscriber</w:t>
            </w:r>
          </w:p>
        </w:tc>
        <w:tc>
          <w:tcPr>
            <w:tcW w:w="24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$ 5,000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$ 3,300</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$ 8,300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w:t>
            </w: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75,000</w:t>
            </w:r>
          </w:p>
        </w:tc>
        <w:tc>
          <w:tcPr>
            <w:tcW w:w="24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Vendors offering Managed Data Solutions ("MDS") to downstream Recipients pursuant to NASDAQ Rule 7026 are responsible for the payment of fees associated with this program. Furthermore, the MDS Vendor must count each Trading Platform operator separately; an MDS Vendor cannot avoid the three Trading Platform maximum by commingling multiple firms' Trading Platforms. For example, the MDS Vendor below has five customers that collectively operate 10 Trading Platforms: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2520"/>
        <w:gridCol w:w="3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Firm</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trading</w:t>
            </w:r>
          </w:p>
        </w:tc>
        <w:tc>
          <w:tcPr>
            <w:tcW w:w="38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Trading</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platform(s)</w:t>
            </w:r>
          </w:p>
        </w:tc>
        <w:tc>
          <w:tcPr>
            <w:tcW w:w="38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platform fee (owed by</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MDS vendor)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8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520" w:type="dxa"/>
            <w:tcBorders>
              <w:right w:val="nil"/>
            </w:tcBorders>
            <w:tcMar>
              <w:top w:w="20" w:type="dxa"/>
              <w:bottom w:w="20" w:type="dxa"/>
            </w:tcMar>
            <w:vAlign w:val="top"/>
          </w:tcPr>
          <w:p/>
        </w:tc>
        <w:tc>
          <w:tcPr>
            <w:tcW w:w="38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this proposal is reasonable, proper, and desirable. NASDAQ attempts to more equitably allocate fees among users with varying business models. As trading has become more electronic and automated, displayed and non-displayed usage has shifted dramatically. Use by individuals versus use by algorithms has shifted as well. NASDAQ attempts to ensure that its fee schedule tracks these shifts and that no category of users pays a disproportionately high or low amount relative to other categories of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accommodate new subparagraph (d), NASDAQ is renumbering current subparagraphs (d) and (e) to become new subparagraphs (e) and (f). Additionally, NASDAQ is eliminating pricing details from re-numbered paragraph (e) to eliminate specific information which is extraneous and subject to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the proposed rule change is consistent with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including the requirements of Section 6(b) of the Act. n3 In particular, the Exchange believes the proposed rule change is consistent with the Section </w:t>
      </w:r>
      <w:r>
        <w:rPr>
          <w:rFonts w:ascii="arial" w:eastAsia="arial" w:hAnsi="arial" w:cs="arial"/>
          <w:b/>
          <w:i w:val="0"/>
          <w:strike w:val="0"/>
          <w:noProof w:val="0"/>
          <w:color w:val="000000"/>
          <w:position w:val="0"/>
          <w:sz w:val="20"/>
          <w:u w:val="none"/>
          <w:vertAlign w:val="baseline"/>
        </w:rPr>
        <w:t> [*1059] </w:t>
      </w:r>
      <w:r>
        <w:rPr>
          <w:rFonts w:ascii="arial" w:eastAsia="arial" w:hAnsi="arial" w:cs="arial"/>
          <w:b w:val="0"/>
          <w:i w:val="0"/>
          <w:strike w:val="0"/>
          <w:noProof w:val="0"/>
          <w:color w:val="000000"/>
          <w:position w:val="0"/>
          <w:sz w:val="20"/>
          <w:u w:val="none"/>
          <w:vertAlign w:val="baseline"/>
        </w:rPr>
        <w:t xml:space="preserve"> 6(b)(5) n4 requirements that the rules of an exchange be designed to promote just and equitable principles of trade, to prevent fraudulent and manipulative acts, to foster cooperation and coordination with persons engaged in facilitating transactions in securities, to remove impediments to and to perfect the mechanism for a free and open market and a national market system, and, in general, to protect investors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0"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believes that this proposal represents an equitable allocation of reasonable dues and fees, consistent with the requirements of the Act. The MDS Fee, which has been available as an option for four years, has reduced costs for Distributors and Subscriber firms that voluntarily opt for this service. The fee currently includes a bas [sic] Distributor fee plus a fee per subscriber, which has been found to be consistent with the Act in multiple contexts due to the economic efficiencies attributable to providing the same data elements to an increasing population of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Trading Platform fee is equitable and reasonable in that it ensures that heavy users of the NASDAQ Depth Information pay an equitable share of the total NASDAQ Depth Information fees. Currently, Professional Subscribers pay higher fees than Non-Professional Subscribers based on the calculated assumption of higher usage. Similarly, External Distributors pay higher fees than Internal Distributors, also based upon their assumed higher usage levels. NASDAQ believes that Trading Platforms are generally high users of the data, using it to power a matching engine for millions or even billions of trading messages per day. Additionally, the vast majority of operators of Trading Platforms that use NASDAQ Depth-of-Book Data already pay $ 15,000 per month or close to it. Those operators will pay no or little in additional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granted self-regulatory organizations and broker-dealers increased authority and flexibility to offer new and unique market data to the public. It was believed that this authority would expand the amount of data available to consumers, and also spur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concluded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NMS--by deregulating the market in proprietary data--would itself further the Act's goals of facilitating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 is promoted when broker-dealers who do not need the data beyond the prices, sizes, market center identifications of the NBBO and consolidated last sale information are not required to receive (and pay for) such data. The Commission also believes that efficiency is promoted when broker-dealers may choose to receive (and pay for) additional market data based on their own internal analysis of the need for such data.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Securities Exchange Act Release No. 51808 (June 9, 2005), </w:t>
      </w:r>
      <w:hyperlink r:id="rId11" w:history="1">
        <w:r>
          <w:rPr>
            <w:rFonts w:ascii="arial" w:eastAsia="arial" w:hAnsi="arial" w:cs="arial"/>
            <w:b w:val="0"/>
            <w:i/>
            <w:strike w:val="0"/>
            <w:noProof w:val="0"/>
            <w:color w:val="0077CC"/>
            <w:position w:val="0"/>
            <w:sz w:val="20"/>
            <w:u w:val="single"/>
            <w:vertAlign w:val="baseline"/>
          </w:rPr>
          <w:t>70 FR 37496</w:t>
        </w:r>
      </w:hyperlink>
      <w:r>
        <w:rPr>
          <w:rFonts w:ascii="arial" w:eastAsia="arial" w:hAnsi="arial" w:cs="arial"/>
          <w:b w:val="0"/>
          <w:i w:val="0"/>
          <w:strike w:val="0"/>
          <w:noProof w:val="0"/>
          <w:color w:val="000000"/>
          <w:position w:val="0"/>
          <w:sz w:val="20"/>
          <w:u w:val="none"/>
          <w:vertAlign w:val="baseline"/>
        </w:rPr>
        <w:t xml:space="preserve"> (June 29,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removing "unnecessary regulatory restrictions" on the ability of exchanges to sell their own data,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advanced the goals of the Act and the principles reflected in its legislative history. If the free market should determine whether proprietary data is sold to broker-dealers at all, it follows that the price at which such data is sold should be set by the market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July 21, 2010, President Barack Obama signed into law H.R. 4173, the Dodd-Frank Wall Street Reform and Consumer Protection Act of 2010 ("Dodd-Frank Act"), which amended Section 19 of the Act. Among other things, Section 916 of the Dodd-Frank Act amended paragraph (A) of Section 19(b)(3) of the Act by inserting the phrase "on any person, whether or not the person is a member of the self-regulatory organization" after "due, fee or other charge imposed by the self-regulatory organization." As a result, all SRO rule proposals establishing or changing dues, fees, or other charges are immediately effective upon filing regardless of whether such dues, fees, or other charges are imposed on members of the SRO, non-members, or both. Section 916 further amended paragraph (C) of Section 19(b)(3) of the Exchange Act to read, in pertinent part, "At any time within the 60-day period beginning on the date of filing of such a proposed rule change in accordance with the provisions of paragraph (1) [of Section 19(b)], the Commission summarily may temporarily suspend the change in the rules of the self-regulatory organization made thereby, if it appears to the Commission that such action is necessary or appropriate in the public interest, for the protection of investors, or otherwise in furtherance of the purposes of this title. If the Commission takes such action, the Commission shall institute proceedings under paragraph (2)(B) [of Section 19(b)] to determine whether the proposed rule should be approved or disapproved."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NASDAQ believes that these amendments to Section 19 of the Act reflect Congress's intent to allow the Commission to rely upon the forces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fees for market data are reasonable and equitably allocated. Although Section 19(b) had formerly authorized immediate effectiveness for a "due, fee or other charge imposed by the self-regulatory organization," the Commission adopted a policy and subsequently a rule stipulating that fees for data and other products available to persons that are not members of the self-regulatory organization must be approved by the Commission after first being published for comment. At the time, the Commission supported the adoption of the policy and the rule by pointing out that unlike members, whose representation in self-regulatory organization governance was mandated by the Act, non-members should be given the opportunity to comment on fees before being required to pay them, and that the Commission should specifically approve all such fees. NASDAQ believes that the amendment to Section 19 reflects Congress's conclusion that the evolution of self-regulatory organization governance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structure have rendered the Commission's prior policy on non-member fees obsolete. Specifically, many exchanges have evolved from member-owned not-for-profit corporations into for-profit investor-owned corporations (or subsidiaries of investor-owned corporations). Accordingly, exchanges no longer have narrow incentives to manage their affairs for the exclusive benefit of their members, but rather have incentives to maximize the appeal of their products to all customers, whether members or non-members, so as to broaden distribution and grow revenues. Moreover, we believe that the change also reflects an endorsement of the Commission's determinations that reliance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is an appropriate means to ensure equitable and reasonable prices. Simply put, the change reflects a presumption that all fee changes should be permitted to take effect immediately, since the level of all fees are constrained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recent decision of the United States Court of Appeals for the District of Columbia Circuit in </w:t>
      </w:r>
      <w:r>
        <w:rPr>
          <w:rFonts w:ascii="arial" w:eastAsia="arial" w:hAnsi="arial" w:cs="arial"/>
          <w:b w:val="0"/>
          <w:i/>
          <w:strike w:val="0"/>
          <w:noProof w:val="0"/>
          <w:color w:val="000000"/>
          <w:position w:val="0"/>
          <w:sz w:val="20"/>
          <w:u w:val="none"/>
          <w:vertAlign w:val="baseline"/>
        </w:rPr>
        <w:t>NetCoaliton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SEC,</w:t>
      </w:r>
      <w:r>
        <w:rPr>
          <w:rFonts w:ascii="arial" w:eastAsia="arial" w:hAnsi="arial" w:cs="arial"/>
          <w:b w:val="0"/>
          <w:i w:val="0"/>
          <w:strike w:val="0"/>
          <w:noProof w:val="0"/>
          <w:color w:val="000000"/>
          <w:position w:val="0"/>
          <w:sz w:val="20"/>
          <w:u w:val="none"/>
          <w:vertAlign w:val="baseline"/>
        </w:rPr>
        <w:t xml:space="preserve"> No. 09-1042 (D.C. Cir. 2010), although reviewing a Commission decision made prior to the effective date of the Dodd-Frank Act, upheld the Commission's reliance upon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to set reasonable and equitably allocated fees for market data. "In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w:t>
      </w:r>
      <w:r>
        <w:rPr>
          <w:rFonts w:ascii="arial" w:eastAsia="arial" w:hAnsi="arial" w:cs="arial"/>
          <w:b/>
          <w:i w:val="0"/>
          <w:strike w:val="0"/>
          <w:noProof w:val="0"/>
          <w:color w:val="000000"/>
          <w:position w:val="0"/>
          <w:sz w:val="20"/>
          <w:u w:val="none"/>
          <w:vertAlign w:val="baseline"/>
        </w:rPr>
        <w:t> [*1060] </w:t>
      </w:r>
      <w:r>
        <w:rPr>
          <w:rFonts w:ascii="arial" w:eastAsia="arial" w:hAnsi="arial" w:cs="arial"/>
          <w:b w:val="0"/>
          <w:i w:val="0"/>
          <w:strike w:val="0"/>
          <w:noProof w:val="0"/>
          <w:color w:val="000000"/>
          <w:position w:val="0"/>
          <w:sz w:val="20"/>
          <w:u w:val="none"/>
          <w:vertAlign w:val="baseline"/>
        </w:rPr>
        <w:t xml:space="preserv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 </w:t>
      </w:r>
      <w:r>
        <w:rPr>
          <w:rFonts w:ascii="arial" w:eastAsia="arial" w:hAnsi="arial" w:cs="arial"/>
          <w:b w:val="0"/>
          <w:i/>
          <w:strike w:val="0"/>
          <w:noProof w:val="0"/>
          <w:color w:val="000000"/>
          <w:position w:val="0"/>
          <w:sz w:val="20"/>
          <w:u w:val="none"/>
          <w:vertAlign w:val="baseline"/>
        </w:rPr>
        <w:t>NetCoaltion,</w:t>
      </w:r>
      <w:r>
        <w:rPr>
          <w:rFonts w:ascii="arial" w:eastAsia="arial" w:hAnsi="arial" w:cs="arial"/>
          <w:b w:val="0"/>
          <w:i w:val="0"/>
          <w:strike w:val="0"/>
          <w:noProof w:val="0"/>
          <w:color w:val="000000"/>
          <w:position w:val="0"/>
          <w:sz w:val="20"/>
          <w:u w:val="none"/>
          <w:vertAlign w:val="baseline"/>
        </w:rPr>
        <w:t xml:space="preserve"> at 15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321, 323). The court's conclusions about Congressional intent are therefore reinforced by the Dodd-Frank Act amendments, which create a presumption that exchange fees, including market data fees, may take effect immediately, without prior Commission approval, and that the Commission should take action to suspend a fee change and institute a proceeding to determine whether the fee change should be approved or disapproved only where the Commission has concerns that the change may not be consistent with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NASDAQ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as amended. Notwithstanding its determination that the Commission may rely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establish fair and equitably allocated fees for market data, the </w:t>
      </w:r>
      <w:r>
        <w:rPr>
          <w:rFonts w:ascii="arial" w:eastAsia="arial" w:hAnsi="arial" w:cs="arial"/>
          <w:b w:val="0"/>
          <w:i/>
          <w:strike w:val="0"/>
          <w:noProof w:val="0"/>
          <w:color w:val="000000"/>
          <w:position w:val="0"/>
          <w:sz w:val="20"/>
          <w:u w:val="none"/>
          <w:vertAlign w:val="baseline"/>
        </w:rPr>
        <w:t>NetCoaltion</w:t>
      </w:r>
      <w:r>
        <w:rPr>
          <w:rFonts w:ascii="arial" w:eastAsia="arial" w:hAnsi="arial" w:cs="arial"/>
          <w:b w:val="0"/>
          <w:i w:val="0"/>
          <w:strike w:val="0"/>
          <w:noProof w:val="0"/>
          <w:color w:val="000000"/>
          <w:position w:val="0"/>
          <w:sz w:val="20"/>
          <w:u w:val="none"/>
          <w:vertAlign w:val="baseline"/>
        </w:rPr>
        <w:t xml:space="preserve"> court found that the Commission had not, in that case, compiled a record that adequately supported its conclusion that the market for the data at issue in the case was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 the reasons discussed above, NASDAQ believes that the Dodd-Frank Act amendments to Section 19 materially alter the scope of the Commission's review of future market data filings, by creating a presumption that all fees may take effect immediately, without prior analysis by the Commission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 Even in the absence of this important statutory change, however, NASDAQ believes that a record may readily be established to demonstrate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market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intense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trading platforms that provide transaction execution and routing services and proprietary data products. Transaction execution and proprietary data products are complementary in that market data is both an input and a byproduct of the execution service. In fact, market data and trade execution are a paradigmatic example of joint products with joint costs. The decision whether and on which platform to post an order will depend on the attributes of the platform where the order can be posted, including the execution fees, data quality and price and distribution of its data products. Without the prospect of a taking order seeing and reacting to a posted order on a particular platform, the posting of the order would accomplish little. Without trade executions, exchange data products cannot exist. Data products are valuable to many end users only insofar as they provide information that end users expect will assist them or their customers in making trading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costs of producing market data include not only the costs of the data distribution infrastructure, but also the costs of designing, maintaining, and operating the exchange's transaction execution platform and the cost of regulating the exchange to ensure its fair operation and maintain investor confidence. The total return that a trading platform earns reflects the revenues it receives from both products and the joint costs it incurs. Moreover, an exchange's customers view the costs of transaction executions and of data as a unified cost of doing business with the exchange. A broker-dealer will direct orders to a particular exchange only if the expected revenues from executing trades on the exchange exceed net transaction execution costs and the cost of data that the broker-dealer chooses to buy to support its trading decisions (or those of its customers). The choice of data products is, in turn, a product of the value of the products in making profitable trading decisions. If the cost of the product exceeds its expected value, the broker-dealer will choose not to buy it. Moreover, as a broker-dealer chooses to direct fewer orders to a particular exchange, the value of the product to that broker-dealer decreases, for two reasons. First, the product will contain less information, because executions of the broker-dealer's orders will not be reflected in it. Second, and perhaps more important, the product will be less valuable to that broker-dealer because it does not provide information about the venue to which it is directing its orders. Data from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 to which the broker-dealer is directing orders will become correspondingly more valuable.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a super-</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charged for either transactions or data has the potential to impair revenues from both products.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at 24. However, the existence of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implies a high degree of price sensitivity on the part of broker-dealers with order flow, since they may readily reduce costs by directing orders toward the lowest-cost trading venues. A broker-dealer that shifted its order flow from one platform to another in response to order execution price differentials would both reduce the value of that platform's market data and reduce its own need to consume data from the disfavored platform. Similarly, if a platform increases its market data fees, the change will affect the overall cost of doing business with the platform, and affected broker-dealers will assess whether they can lower their trading costs by directing orders elsewhere and thereby lessening the need for the more expensive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Analyzing the cost of market data distribution in isolation from the cost of all of the inputs supporting the creation of market data will inevitably underestimate the cost of the data. Thus, because it is impossible to create data without a fast, technologically robust, and well-regulated execution system, system costs and regulatory costs affect the price of market data. It would be equally misleading, however, to attribute all of the exchange's costs to the market data portion of an exchange's joint product. Rather,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each platform earns from the sale of its joint products, but different platforms may choose from a range of possible, and equally reasonable, pricing strategies as the means of recovering total costs. For example, some platform may choose to pay rebates to attract orders, charge relatively low prices for market information (or provide information free of charge) and charge relatively high prices for accessing posted liquidity. Other platforms may choose a strategy of paying lower rebates (or no rebates) to attract orders, setting relatively high prices for market information, and setting relatively low prices for accessing posted liquidity. 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 This would be akin to strictly regulating the price that an automobile manufacturer can charge for car sound systems despite the existence of a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for cars and the </w:t>
      </w:r>
      <w:r>
        <w:rPr>
          <w:rFonts w:ascii="arial" w:eastAsia="arial" w:hAnsi="arial" w:cs="arial"/>
          <w:b/>
          <w:i w:val="0"/>
          <w:strike w:val="0"/>
          <w:noProof w:val="0"/>
          <w:color w:val="000000"/>
          <w:position w:val="0"/>
          <w:sz w:val="20"/>
          <w:u w:val="none"/>
          <w:vertAlign w:val="baseline"/>
        </w:rPr>
        <w:t> [*1061] </w:t>
      </w:r>
      <w:r>
        <w:rPr>
          <w:rFonts w:ascii="arial" w:eastAsia="arial" w:hAnsi="arial" w:cs="arial"/>
          <w:b w:val="0"/>
          <w:i w:val="0"/>
          <w:strike w:val="0"/>
          <w:noProof w:val="0"/>
          <w:color w:val="000000"/>
          <w:position w:val="0"/>
          <w:sz w:val="20"/>
          <w:u w:val="none"/>
          <w:vertAlign w:val="baseline"/>
        </w:rPr>
        <w:t xml:space="preserve"> availability of after-market alternatives to the manufacturer-supplied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market data products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to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for listings, trades, and market data itself, providing virtually limitless opportunities for entrepreneurs who wish to produce and distribute their own market data. This proprietary data is produced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Broker-dealers currently have numerous alternative venues for their order flow, including ten self-regulatory organization ("SRO") markets, as well as internalizing broker-dealers ("BDs") and various forms of alternative trading systems ("ATSs"), including dark pools and electronic communication networks ("ECNs"). Each SRO market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produce transaction reports via trade executions, and two FINRA-regulated Trade Reporting Facilities ("TRFs")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internalized transaction reports.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order flow, executions, and transaction reports provide pricing discipline for the inputs of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TRFs, BDs, and ATSs that currently produce proprietary data or are currently capable of producing it provides further pricing discipline for proprietary data products. Each SRO, TRF, ATS, and BD is currently permitted to produce proprietary data products, and many currently do or have announced plans to do so, including NASDAQ, NYSE, NYSE Amex, NYSEArca, and BATS.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ATS or BD can combine with any other ATS, BD, or multiple ATSs or BDs to produce joint proprietary data products. Additionally, order routers and market data vendors can facilitate single or multiple broker-dealers' production of proprietary data products. The potential sources of proprietary products are virtually limitless.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BDs,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as BATS and Arca did before registering as exchanges by publishing proprietary book data on the Internet. Second, because a single order or transaction report can appear in an SRO proprietary product, a non-SRO proprietary product, or both, the data available in proprietary products is exponentially greater than the actual number of orders and transaction reports that exist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data vendors provide another form of price discipline for proprietary data products because they control the primary means of access to end users. Vendors impose price restraints based upon their business models. For example, vendors such as Bloomberg and Thomson Reuters that assess a surcharge on data they sell may refuse to offer proprietary products that end users will not purchase in sufficient numbers. Internet portals, such as Google, impose a discipline by providing only data that will enable them to attract "eyeballs" that contribute to their advertising revenue. Retail broker-dealers, such as Schwab and Fidelity, offer their customers proprietary data only if it promotes trading and generates sufficient commission revenue. Although the business models may differ, these vendors' pricing discipline is the same: They can simply refuse to purchase any proprietary data product that fails to provide sufficient value. NASDAQ and other producers of proprietary data products must understand and respond to these varying business models and pricing disciplines in order to market proprietary data products successfully.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inexpensive, and profitable. The history of electronic trading is replete with examples of entrants that swiftly grew into some of the largest electronic trading platforms and proprietary data producers: Archipelago, Bloomberg Tradebook, Island, RediBook, Attain, TracECN, BATS Trading and Direct Edge. A proliferation of dark pools and other ATSs operate profitably with fragmentary shares of consolidated market volume.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by deregulating the market for proprietary data, has increased the contestability of that market. While broker-dealers have previously published their proprietary data individually,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encourages market data vendors and broker-dealers to produce proprietary products cooperatively in a manner never before possible. Multiple market data vendors already have the capability to aggregate data and disseminate it on a profitable scale, including Bloomberg, and Thomson Reuters.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concluded that the Commission had failed to demonstrate that the market for market data was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based on the reasoning of the Commission's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order because, in the court's view, the Commission had not adequately demonstrated that the depth-of-book data at issue in the case is used to attract order flow. NASDAQ believes, however, that evidence not before the court clearly demonstrates that availability of data attracts order flow. For example, as of July 2010, 92 of the top 100 broker-dealers by shares executed on NASDAQ consumed Level 2/NQDS and 80 of the top 100 broker-dealers consumed TotalView. During that month, the Level 2/NQDS-users were responsible for 94.44% of the orders entered into NASDAQ and TotalView users were responsible for 92.98%.</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platforms has driven NASDAQ continually to improve its platform data offerings and to cater to customers' data needs. For example, NASDAQ has developed and maintained multiple delivery mechanisms (IP, multi-cast, and compression) that enable customers to receive data in the form and manner they prefer and at the lowest cost to them. NASDAQ offers front end applications such as its "Bookviewer" to help customers utilize data. NASDAQ has created new products like TotalView Aggregate to complement TotalView ITCH and Level 2/NQDS, because offering data in multiple formatting allows NASDAQ to better fit customer needs. NASDAQ offers data via multiple extranet providers, thereby helping to reduce network and total cost for its data products. NASDAQ has developed an online administrative system to provide customers transparency into their data feed requests and streamline data usage reporting. NASDAQ has also expanded its Enterprise License options that reduce the administrative burden and costs to firms that purchase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these enhancements and a dramatic increase in message traffic, NASDAQ's fees for market data have remained flat. In fact, as a percent of total customer costs, NASDAQ data fees have fallen relative to other data usage costs--including bandwidth, programming, and infrastructure--that have risen. The same holds true for execution services; despite numerous enhancements to NASDAQ's trading platform, absolute and relative trading costs have declined. Platform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intensified as new entrants have emerged, constraining prices for both executions and for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vigor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depth information is significant and the Exchange believes that this proposal </w:t>
      </w:r>
      <w:r>
        <w:rPr>
          <w:rFonts w:ascii="arial" w:eastAsia="arial" w:hAnsi="arial" w:cs="arial"/>
          <w:b/>
          <w:i w:val="0"/>
          <w:strike w:val="0"/>
          <w:noProof w:val="0"/>
          <w:color w:val="000000"/>
          <w:position w:val="0"/>
          <w:sz w:val="20"/>
          <w:u w:val="none"/>
          <w:vertAlign w:val="baseline"/>
        </w:rPr>
        <w:t> [*1062] </w:t>
      </w:r>
      <w:r>
        <w:rPr>
          <w:rFonts w:ascii="arial" w:eastAsia="arial" w:hAnsi="arial" w:cs="arial"/>
          <w:b w:val="0"/>
          <w:i w:val="0"/>
          <w:strike w:val="0"/>
          <w:noProof w:val="0"/>
          <w:color w:val="000000"/>
          <w:position w:val="0"/>
          <w:sz w:val="20"/>
          <w:u w:val="none"/>
          <w:vertAlign w:val="baseline"/>
        </w:rPr>
        <w:t xml:space="preserve"> clearly evidences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NASDAQ is offering a new pricing model in order to keep pace with changes in the industry and evolving customer needs. It is entirely optional and is geared towards attracting new customers, as well as retaining existing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has witnessed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creating new products and innovative pricing in this space over the course of the past year. NASDAQ continues to see firms challenge its pricing on the basis of the Exchange's explicit fees being higher than the zero-priced fees from other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such as BATS. In all cases, firms make decisions on how much and what types of data to consume on the basis of the total cost of interacting with NASDAQ or other exchanges. Of course, the explicit data fees are but one factor in a total platform analysis. Some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have lower transactions fees and higher data fees, and others are vice versa. The market for this depth information is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continually evolves as products develop and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either solicited 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has become effective pursuant to Section 19(b)(3)(A)(ii) of the Act.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the proposed rule change, the Commission summarily may temporarily suspend such rule change if it appears to the Commission that such action is: (i) necessary or appropriate in the public interest; (ii) for the protection of investors; or (iii) otherwise in furtherance of the purposes of the Act. If the Commission takes such action, the Commission shall institute proceedings to determine whether the proposed rule should be approved or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2"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3"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SR-NASDAQ-2014-125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SR-NASDAQ-2014-125. This file number should be included on the subject line if email is used. To help the Commission process and review your comments more efficiently, please use only one method. The Commission will post all comments on the Commission's Internet Web site (</w:t>
      </w:r>
      <w:hyperlink r:id="rId12"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SR-NASDAQ-2014-125 and should be submitted on or before January 29,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4"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Brent J.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2015-00051 Filed 1-7-15;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1057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PC1-NRF4-4309-00000-00&amp;context=" TargetMode="External" /><Relationship Id="rId11" Type="http://schemas.openxmlformats.org/officeDocument/2006/relationships/hyperlink" Target="https://advance.lexis.com/api/document?collection=administrative-codes&amp;id=urn:contentItem:4GH9-4PB0-014W-D1VJ-00000-00&amp;context=" TargetMode="External" /><Relationship Id="rId12" Type="http://schemas.openxmlformats.org/officeDocument/2006/relationships/hyperlink" Target="http://www.sec.gov/rules/sro.shtml" TargetMode="External" /><Relationship Id="rId13" Type="http://schemas.openxmlformats.org/officeDocument/2006/relationships/hyperlink" Target="mailto:rule-comments@sec.gov" TargetMode="External" /><Relationship Id="rId14" Type="http://schemas.openxmlformats.org/officeDocument/2006/relationships/hyperlink" Target="https://advance.lexis.com/api/document?collection=administrative-codes&amp;id=urn:contentItem:5SPP-2120-008G-Y2ND-00000-00&amp;context=" TargetMode="Externa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1D-C7R0-006W-84JV-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37496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71560759</vt:lpwstr>
  </property>
  <property fmtid="{D5CDD505-2E9C-101B-9397-08002B2CF9AE}" pid="3" name="LADocCount">
    <vt:lpwstr>1</vt:lpwstr>
  </property>
  <property fmtid="{D5CDD505-2E9C-101B-9397-08002B2CF9AE}" pid="4" name="UserPermID">
    <vt:lpwstr>urn:user:PA185916758</vt:lpwstr>
  </property>
</Properties>
</file>