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14097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052, Wednesday, March 18,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14097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March 18,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Technical Assistance and Dissemination To Improve Services and Results for Children With Disabilities--Model Demonstration Projects To Improve Adolescent Literacy for Students with Disabilities in Middle and High Schools, Grades 6-12</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r>
        <w:rPr>
          <w:rFonts w:ascii="arial" w:eastAsia="arial" w:hAnsi="arial" w:cs="arial"/>
          <w:b w:val="0"/>
          <w:i w:val="0"/>
          <w:strike w:val="0"/>
          <w:noProof w:val="0"/>
          <w:color w:val="000000"/>
          <w:position w:val="0"/>
          <w:sz w:val="20"/>
          <w:u w:val="none"/>
          <w:vertAlign w:val="baseline"/>
        </w:rPr>
        <w:t xml:space="preserve"> Technical Assistance and Dissemination to Improve Services and Results for Children with Disabilities--Model Demonstration Projects to Improve Adolescent Literacy for Students with Disabilities in Middle and High Schools, Grades 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84.326M.</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a TTY, call the Federal Relay Service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Grants and Contracts Services Team, U.S. Department of Education, 400 Maryland Avenue SW., room 5075, PCP, Washington, DC 20202-2550. Telephone: (202) 245-7363. If you use a TDD or a TTY, call the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12,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Sue Swenson,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2015-06273 Filed 3-17-15;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18,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May 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July 1,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the Technical Assistance and Dissemination to Improve Services and Results for Children with Disabilities program is to promote academic achievement and to improve results for children with disabilities by providing technical assistance (TA), supporting model demonstration projects, disseminating useful information, and implementing activities that are supported by scientifically based research.</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In accordance with 34 CFR 75.105(b)(2)(v), this priority is from allowable activities specified in the statute or otherwise authorized in the statute (see sections 663 and 681(d) of the Individuals with Disabilities Education Act (IDEA), </w:t>
      </w:r>
      <w:hyperlink r:id="rId10" w:history="1">
        <w:r>
          <w:rPr>
            <w:rFonts w:ascii="arial" w:eastAsia="arial" w:hAnsi="arial" w:cs="arial"/>
            <w:b w:val="0"/>
            <w:i/>
            <w:strike w:val="0"/>
            <w:noProof w:val="0"/>
            <w:color w:val="0077CC"/>
            <w:position w:val="0"/>
            <w:sz w:val="20"/>
            <w:u w:val="single"/>
            <w:vertAlign w:val="baseline"/>
          </w:rPr>
          <w:t>20 U.S.C. 1463,</w:t>
        </w:r>
      </w:hyperlink>
      <w:r>
        <w:rPr>
          <w:rFonts w:ascii="arial" w:eastAsia="arial" w:hAnsi="arial" w:cs="arial"/>
          <w:b w:val="0"/>
          <w:i w:val="0"/>
          <w:strike w:val="0"/>
          <w:noProof w:val="0"/>
          <w:color w:val="000000"/>
          <w:position w:val="0"/>
          <w:sz w:val="20"/>
          <w:u w:val="none"/>
          <w:vertAlign w:val="baseline"/>
        </w:rPr>
        <w:t xml:space="preserve"> 1481(d).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priority is an absolute priority. Under 34 CFR 75.105(c)(3),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Technical Assistance and Dissemination to Improve Services and Results for Children with Disabilities--Model Demonstration Projects to Improve Adolescent Literacy for Students with Disabilities in Middle and High Schools, Grades 6-12.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purpose of this priority is to fund three cooperative agreements to establish and operate model demonstration projects that are designed to improve adolescent literacy for students with disabilities in middle and high school grades 6 through 12, who score below grade level in reading, or who have identified reading goals and objectives on their individualized education program. Results from the National Assessment of Educational Progress (NAEP) demonstrate that there is a persistent gap in reading achievement between students with disabilities and those without disabilities. In 2013, the average scaled scores of eighth graders with disabilities, excluding those with a 504 plan, were 42 points lower than their non-disabled peers. Sixty-five percent of eighth graders with disabilities scored below basic level on the reading assessment compared with 19 percent of eighth graders without disabilities (U.S. Department of Education,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Adolescents must possess the ability to read for understanding across a wide variety of content in order to meet college- and career-ready standards. Elements of literacy at the middle and secondary level include the ability to recognize and decode words and how students engage in reading as well as writing and oral communication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improve adolescent literacy, as defined for the purpose of this priority, models should be designed to implement evidence-based adolescent literacy interventions that are based on strong theory or evidence of promise for improving reading, and locating, understanding, interpreting, evaluating, and using written information across multiple content areas. Intensive reading intervention to improve adolescent literacy should also include a mix of effective instruction, modeling, professional development, and evidence-based teaching practices that are appropriate for classroom and small group settings. Evidence also suggests the implementation of reading interventions requires well trained professionals who are prepared to incorporate these interventions within instruction across subjects in middle and high school grades (Faggella-Luby, Ware, &amp; Capozzoli, 2009). Therefore, adolescent literacy models should also include professional development as a component of the model. In addition, such models need to be replicable across content areas in classrooms and small group settings in multiple school sites, with a goal of scaling-up the intervention for wider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The purpose of this priority is to fund three cooperative agreements to establish and operate model demonstration projects that are designed to improve the literacy of adolescents with disabilities in middle and high school grades. For purposes of this priority, the target population includes: Students with disabilities in grades 6 through 12 who score below grade level in reading, or who have identified reading goals and objectives on their individualized education program. For purposes of this priority, the term "adolescent literacy" refers to the skills needed by individuals with disabilities in middle or high school grades to locate, read, understand, interpret, evaluate, and use written information across multiple content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Model demonstration projects funded under this priority must direct their efforts at improving adolescent literacy interventions in content areas using effective whole-class and small group instructional approaches for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Models must also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 professional development component to teach educators how to implement the interventions with fidelity across a variety of content areas. </w:t>
      </w:r>
      <w:r>
        <w:rPr>
          <w:rFonts w:ascii="arial" w:eastAsia="arial" w:hAnsi="arial" w:cs="arial"/>
          <w:b/>
          <w:i w:val="0"/>
          <w:strike w:val="0"/>
          <w:noProof w:val="0"/>
          <w:color w:val="000000"/>
          <w:position w:val="0"/>
          <w:sz w:val="20"/>
          <w:u w:val="none"/>
          <w:vertAlign w:val="baseline"/>
        </w:rPr>
        <w:t> [*14098]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Strategies for replicating interventions used by educators so they are effective when brought to scale across multiple classrooms within the participating local educational agency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Each model must include a plan to implement at least one evidence-based adolescent literacy intervention that applies strong theory or evidence of promise. In addition, these models must be implemented at multiple school sites and include professional development for all content area teachers at all middle and high school grades targeted to receive the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considered for funding under this absolute priority, applicants must meet the application requirements contained in this priority. Each project funded under this absolute priority also must meet the programmatic and administrative requirements specified in the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xml:space="preserve"> An applicant must include in its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detailed review of the research evidence that supports the effectiveness of the proposed model, its components, and processes to improve outcomes for adolescents with disabilities in middle and high school grades;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logic model that depicts, at a minimum, the goals, activities, outputs, and outcomes of the proposed model demonstration project. The logic model must describe how LEAs and participating schools involved in the project would contribute to the activities, outputs, and outcomes of the proposed project. A logic model communicates how a project will achieve its outcomes and provides a framework for both the formative and summative evaluations of the project;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While section 77.1(c) of EDGAR contains a definition for "logic model," OSEP, based upon its experience in this area, has been using the above definition as standard language for the OSEP TA&amp;D priorities. OSEP's definition establishes a difference between logic models and conceptual frameworks whereas 34 CFR 77.1(c) considers the model to be one and the same. The following Web sites provide more information on logic models: </w:t>
      </w:r>
      <w:hyperlink r:id="rId11" w:history="1">
        <w:r>
          <w:rPr>
            <w:rFonts w:ascii="arial" w:eastAsia="arial" w:hAnsi="arial" w:cs="arial"/>
            <w:b w:val="0"/>
            <w:i/>
            <w:strike w:val="0"/>
            <w:noProof w:val="0"/>
            <w:color w:val="0077CC"/>
            <w:position w:val="0"/>
            <w:sz w:val="20"/>
            <w:u w:val="single"/>
            <w:vertAlign w:val="baseline"/>
          </w:rPr>
          <w:t>www.researchutilization.org/matrix/logicmodel_resource3c.html</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www.tadnet.org/pages/589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description of the activities of the proposed model demonstration project to improve literacy for adolescents with disabilities in subject areas taught in middle and high schools. The description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Intervention components,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Evidence-based literacy instruction and interventions that are provided to the adolescents with disabilities, and are replicable across a variety of content areas by each participating school within a participating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An explanation of the culturally responsive principles n1 to be incorporated within the interventions;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Culturally responsive principles promote redesigning the learning environments to support the development and success of all students. Some examples of incorporating culturally responsive principles into learning environments include communicating high expectations to all students, incorporating students' cultural and home experiences into lessons by reshaping the curriculum to reflect students' experiences, and engaging students in activities where they can converse with one another on topics that tap into their background knowledge and experiences (Gay, 2000; King, Artiles, &amp; Kozleski,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An explanation of the professional development materials and activities that would be provided to school and LEA personnel to ensure that they implement the evidence-based intervention with fidelity;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 data plan that outlines the process for collecting, assessing, and analyzing n2 data for participating adolescents with disabilities. The data plan should include a description of how these data will be used to improve the instructional interventions.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Applicants must ensure the confidentiality of individual data, consistent with the requirements of section 444 of the General Education Provisions Act </w:t>
      </w:r>
      <w:hyperlink r:id="rId13" w:history="1">
        <w:r>
          <w:rPr>
            <w:rFonts w:ascii="arial" w:eastAsia="arial" w:hAnsi="arial" w:cs="arial"/>
            <w:b w:val="0"/>
            <w:i/>
            <w:strike w:val="0"/>
            <w:noProof w:val="0"/>
            <w:color w:val="0077CC"/>
            <w:position w:val="0"/>
            <w:sz w:val="20"/>
            <w:u w:val="single"/>
            <w:vertAlign w:val="baseline"/>
          </w:rPr>
          <w:t>(20 U.S.C. 1232g),</w:t>
        </w:r>
      </w:hyperlink>
      <w:r>
        <w:rPr>
          <w:rFonts w:ascii="arial" w:eastAsia="arial" w:hAnsi="arial" w:cs="arial"/>
          <w:b w:val="0"/>
          <w:i w:val="0"/>
          <w:strike w:val="0"/>
          <w:noProof w:val="0"/>
          <w:color w:val="000000"/>
          <w:position w:val="0"/>
          <w:sz w:val="20"/>
          <w:u w:val="none"/>
          <w:vertAlign w:val="baseline"/>
        </w:rPr>
        <w:t xml:space="preserve"> commonly known as the "Family Educational Rights and Privacy Act" (FERPA), and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the confidentiality of individual records. Final FERPA regulatory changes became effective January 3, 2012, and include requirements for data sharing. Applicants are encouraged to review the final FERPA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on December 2, 2011 </w:t>
      </w:r>
      <w:hyperlink r:id="rId14" w:history="1">
        <w:r>
          <w:rPr>
            <w:rFonts w:ascii="arial" w:eastAsia="arial" w:hAnsi="arial" w:cs="arial"/>
            <w:b w:val="0"/>
            <w:i/>
            <w:strike w:val="0"/>
            <w:noProof w:val="0"/>
            <w:color w:val="0077CC"/>
            <w:position w:val="0"/>
            <w:sz w:val="20"/>
            <w:u w:val="single"/>
            <w:vertAlign w:val="baseline"/>
          </w:rPr>
          <w:t>(76 FR 75604).</w:t>
        </w:r>
      </w:hyperlink>
      <w:r>
        <w:rPr>
          <w:rFonts w:ascii="arial" w:eastAsia="arial" w:hAnsi="arial" w:cs="arial"/>
          <w:b w:val="0"/>
          <w:i w:val="0"/>
          <w:strike w:val="0"/>
          <w:noProof w:val="0"/>
          <w:color w:val="000000"/>
          <w:position w:val="0"/>
          <w:sz w:val="20"/>
          <w:u w:val="none"/>
          <w:vertAlign w:val="baseline"/>
        </w:rPr>
        <w:t xml:space="preserve"> Questions can be sent to the Family Policy Compliance Office (</w:t>
      </w:r>
      <w:hyperlink r:id="rId15" w:history="1">
        <w:r>
          <w:rPr>
            <w:rFonts w:ascii="arial" w:eastAsia="arial" w:hAnsi="arial" w:cs="arial"/>
            <w:b w:val="0"/>
            <w:i/>
            <w:strike w:val="0"/>
            <w:noProof w:val="0"/>
            <w:color w:val="0077CC"/>
            <w:position w:val="0"/>
            <w:sz w:val="20"/>
            <w:u w:val="single"/>
            <w:vertAlign w:val="baseline"/>
          </w:rPr>
          <w:t>www.ed.gov/fpco</w:t>
        </w:r>
      </w:hyperlink>
      <w:r>
        <w:rPr>
          <w:rFonts w:ascii="arial" w:eastAsia="arial" w:hAnsi="arial" w:cs="arial"/>
          <w:b w:val="0"/>
          <w:i w:val="0"/>
          <w:strike w:val="0"/>
          <w:noProof w:val="0"/>
          <w:color w:val="000000"/>
          <w:position w:val="0"/>
          <w:sz w:val="20"/>
          <w:u w:val="none"/>
          <w:vertAlign w:val="baseline"/>
        </w:rPr>
        <w:t xml:space="preserve">) at (202) 260-3887 or </w:t>
      </w:r>
      <w:hyperlink r:id="rId16" w:history="1">
        <w:r>
          <w:rPr>
            <w:rFonts w:ascii="arial" w:eastAsia="arial" w:hAnsi="arial" w:cs="arial"/>
            <w:b w:val="0"/>
            <w:i/>
            <w:strike w:val="0"/>
            <w:noProof w:val="0"/>
            <w:color w:val="0077CC"/>
            <w:position w:val="0"/>
            <w:sz w:val="20"/>
            <w:u w:val="single"/>
            <w:vertAlign w:val="baseline"/>
          </w:rPr>
          <w:t>FERPA@ed.gov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Components that will be implemented in each participating school and LEA 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Identify the methods and criteria that will be used to select n3 and recruit n4 at least three middle or high schools and describe the schools and LEAs that will participate in the project, including their populations and whether the LEAs or the schools that are participating are high-poverty, high-need, n5 rural, n6 urban, or suburban;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For factors to consider when selecting model demonstration sites, the applicant should refer to </w:t>
      </w:r>
      <w:r>
        <w:rPr>
          <w:rFonts w:ascii="arial" w:eastAsia="arial" w:hAnsi="arial" w:cs="arial"/>
          <w:b w:val="0"/>
          <w:i/>
          <w:strike w:val="0"/>
          <w:noProof w:val="0"/>
          <w:color w:val="000000"/>
          <w:position w:val="0"/>
          <w:sz w:val="20"/>
          <w:u w:val="none"/>
          <w:vertAlign w:val="baseline"/>
        </w:rPr>
        <w:t>Assessing Sites for Model Demonstration: Lessons Learned for OSEP Grantees</w:t>
      </w:r>
      <w:r>
        <w:rPr>
          <w:rFonts w:ascii="arial" w:eastAsia="arial" w:hAnsi="arial" w:cs="arial"/>
          <w:b w:val="0"/>
          <w:i w:val="0"/>
          <w:strike w:val="0"/>
          <w:noProof w:val="0"/>
          <w:color w:val="000000"/>
          <w:position w:val="0"/>
          <w:sz w:val="20"/>
          <w:u w:val="none"/>
          <w:vertAlign w:val="baseline"/>
        </w:rPr>
        <w:t xml:space="preserve"> at </w:t>
      </w:r>
      <w:hyperlink r:id="rId17" w:history="1">
        <w:r>
          <w:rPr>
            <w:rFonts w:ascii="arial" w:eastAsia="arial" w:hAnsi="arial" w:cs="arial"/>
            <w:b w:val="0"/>
            <w:i/>
            <w:strike w:val="0"/>
            <w:noProof w:val="0"/>
            <w:color w:val="0077CC"/>
            <w:position w:val="0"/>
            <w:sz w:val="20"/>
            <w:u w:val="single"/>
            <w:vertAlign w:val="baseline"/>
          </w:rPr>
          <w:t>http://mdcc.sri.com/documents/reports/MDCC_Site_Assessment_Brief_09-30-11.pdf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document also contains a site assessment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applicant must describe who is going to be contacted within the district(s) and how "buy-in" from these and other leaders will be solicited.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Section 2102(3) of the Elementary and Secondary Education Act of 1965, as amended (ESEA) defines a "high-need LEA" as an LEA--(A)(i) That serves not fewer than 10,000 children from families with incomes below the poverty line (as that term is defined in section 9101(33) of the ESEA); or (ii) for which not less than 20 percent of the children served by the LEA are from families with incomes below the poverty line; and (B)(i) for which there is a high percentage of teachers not teaching in the academic subjects or grade levels that the teachers were trained to teach; or (ii) for which there is a high percentage of teachers with emergency, provisional, or temporary certification or licensing.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For purposes of this priority, "rural LEA" means an LEA that is eligible under the Small Rural School Achievement (SRSA) program or the Rural and Low-Income School (RLIS) program authorized under Title VI, Part B of the ESEA. Applicants may determine whether a particular LEA is eligible for these programs by referring to the information on the following Department Web sites. For SRSA: </w:t>
      </w:r>
      <w:hyperlink r:id="rId18" w:history="1">
        <w:r>
          <w:rPr>
            <w:rFonts w:ascii="arial" w:eastAsia="arial" w:hAnsi="arial" w:cs="arial"/>
            <w:b w:val="0"/>
            <w:i/>
            <w:strike w:val="0"/>
            <w:noProof w:val="0"/>
            <w:color w:val="0077CC"/>
            <w:position w:val="0"/>
            <w:sz w:val="20"/>
            <w:u w:val="single"/>
            <w:vertAlign w:val="baseline"/>
          </w:rPr>
          <w:t>http://www2.ed.gov/programs/reapsrsa/index.html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RLIS: </w:t>
      </w:r>
      <w:hyperlink r:id="rId19" w:history="1">
        <w:r>
          <w:rPr>
            <w:rFonts w:ascii="arial" w:eastAsia="arial" w:hAnsi="arial" w:cs="arial"/>
            <w:b w:val="0"/>
            <w:i/>
            <w:strike w:val="0"/>
            <w:noProof w:val="0"/>
            <w:color w:val="0077CC"/>
            <w:position w:val="0"/>
            <w:sz w:val="20"/>
            <w:u w:val="single"/>
            <w:vertAlign w:val="baseline"/>
          </w:rPr>
          <w:t>http://www2.ed.gov/programs/reaprlisp/eligibility.html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are encouraged to identify, to the extent possible, LEAs and schools willing to participate in the applicant's model demonstration. Final site selection will be determined in consultation with the OSEP project officer following the kick-off meeting described in paragraph (d)(1) of these application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Provide initial and ongoing professional development, including coaching, for educators involved in implementing the models;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Evaluation components,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the applicant will measure the extent to which project activities maintain fidelity to the proposed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How the applicant will measure the social validity of the model--in other words, measuring the satisfaction of stakeholders'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educators', parents', and students') with the model components, processes, and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 formative evaluation plan, consistent with the project's logic model and the data-collection plan that will include, as appropriate, periodic collection of student performance and achievement data, as well as the data collection systems that will be used to measure the fidelity of the implementation activities to the proposed model, stakeholder satisfaction, and descriptions of the settings where the intervention will take place. The plan must outline how these data will be reviewed by project staff, when they will be reviewed, and how they will be used during the course of the project to adjust the model or its implementation to increase the model's usefulness, generalizability, and potential for sustainability;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The timeline and plan to collect summative evaluation data on the </w:t>
      </w:r>
      <w:r>
        <w:rPr>
          <w:rFonts w:ascii="arial" w:eastAsia="arial" w:hAnsi="arial" w:cs="arial"/>
          <w:b/>
          <w:i w:val="0"/>
          <w:strike w:val="0"/>
          <w:noProof w:val="0"/>
          <w:color w:val="000000"/>
          <w:position w:val="0"/>
          <w:sz w:val="20"/>
          <w:u w:val="none"/>
          <w:vertAlign w:val="baseline"/>
        </w:rPr>
        <w:t> [*14099] </w:t>
      </w:r>
      <w:r>
        <w:rPr>
          <w:rFonts w:ascii="arial" w:eastAsia="arial" w:hAnsi="arial" w:cs="arial"/>
          <w:b w:val="0"/>
          <w:i w:val="0"/>
          <w:strike w:val="0"/>
          <w:noProof w:val="0"/>
          <w:color w:val="000000"/>
          <w:position w:val="0"/>
          <w:sz w:val="20"/>
          <w:u w:val="none"/>
          <w:vertAlign w:val="baseline"/>
        </w:rPr>
        <w:t xml:space="preserve"> reading achievement of adolescents with disabilities and their nondisabled peers;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budget for attendance at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one and one half-day kick-off meeting to be held in Washington, DC, after receipt of the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three-day Project Directors' Conference in Washington, DC, during each year of the project period;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Six travel days spread across years 2-4 of the project period to attend planning meetings, Department briefings, Department-sponsored conferences, and other meetings, as requested by OSEP, to be held in Washington, DC, with the OSEP project officer.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Project Activities.</w:t>
      </w:r>
      <w:r>
        <w:rPr>
          <w:rFonts w:ascii="arial" w:eastAsia="arial" w:hAnsi="arial" w:cs="arial"/>
          <w:b w:val="0"/>
          <w:i w:val="0"/>
          <w:strike w:val="0"/>
          <w:noProof w:val="0"/>
          <w:color w:val="000000"/>
          <w:position w:val="0"/>
          <w:sz w:val="20"/>
          <w:u w:val="none"/>
          <w:vertAlign w:val="baseline"/>
        </w:rPr>
        <w:t xml:space="preserve"> To meet the requirements of this priority, each project, at a minimum,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Document the process for model replication purposes, should the model be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Communicate and collaborate on an ongoing basis with other Department-funded literacy projects to share information on successful strategies and implementation challenges regarding adolescent literacy instruction and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Maintain ongoing telephone and email communication with the OSEP project officer and the other model demonstration projects funded under this priority;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the project maintains a Web site, include relevant information about the model, the intervention, and the demonstration activities that meets government- or industry-recognized standards for accessibility.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Faggella-Luby, M. N., Ware, S. M., &amp; Capozzoli, A. (2009). Adolescent literacy--Reviewing adolescent literacy reports: Key components and critical questions. </w:t>
      </w:r>
      <w:r>
        <w:rPr>
          <w:rFonts w:ascii="arial" w:eastAsia="arial" w:hAnsi="arial" w:cs="arial"/>
          <w:b w:val="0"/>
          <w:i/>
          <w:strike w:val="0"/>
          <w:noProof w:val="0"/>
          <w:color w:val="000000"/>
          <w:position w:val="0"/>
          <w:sz w:val="20"/>
          <w:u w:val="none"/>
          <w:vertAlign w:val="baseline"/>
        </w:rPr>
        <w:t>Journal of Literacy Research, 41,</w:t>
      </w:r>
      <w:r>
        <w:rPr>
          <w:rFonts w:ascii="arial" w:eastAsia="arial" w:hAnsi="arial" w:cs="arial"/>
          <w:b w:val="0"/>
          <w:i w:val="0"/>
          <w:strike w:val="0"/>
          <w:noProof w:val="0"/>
          <w:color w:val="000000"/>
          <w:position w:val="0"/>
          <w:sz w:val="20"/>
          <w:u w:val="none"/>
          <w:vertAlign w:val="baseline"/>
        </w:rPr>
        <w:t xml:space="preserve"> 453-475.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Gay, G. (2000). </w:t>
      </w:r>
      <w:r>
        <w:rPr>
          <w:rFonts w:ascii="arial" w:eastAsia="arial" w:hAnsi="arial" w:cs="arial"/>
          <w:b w:val="0"/>
          <w:i/>
          <w:strike w:val="0"/>
          <w:noProof w:val="0"/>
          <w:color w:val="000000"/>
          <w:position w:val="0"/>
          <w:sz w:val="20"/>
          <w:u w:val="none"/>
          <w:vertAlign w:val="baseline"/>
        </w:rPr>
        <w:t>Culturally responsive teaching: Theory, research, and practice.</w:t>
      </w:r>
      <w:r>
        <w:rPr>
          <w:rFonts w:ascii="arial" w:eastAsia="arial" w:hAnsi="arial" w:cs="arial"/>
          <w:b w:val="0"/>
          <w:i w:val="0"/>
          <w:strike w:val="0"/>
          <w:noProof w:val="0"/>
          <w:color w:val="000000"/>
          <w:position w:val="0"/>
          <w:sz w:val="20"/>
          <w:u w:val="none"/>
          <w:vertAlign w:val="baseline"/>
        </w:rPr>
        <w:t xml:space="preserve"> New York: Teachers College Press.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King, K. A., Artiles, A. J., &amp; Kozleski, E. B. (2009). </w:t>
      </w:r>
      <w:r>
        <w:rPr>
          <w:rFonts w:ascii="arial" w:eastAsia="arial" w:hAnsi="arial" w:cs="arial"/>
          <w:b w:val="0"/>
          <w:i/>
          <w:strike w:val="0"/>
          <w:noProof w:val="0"/>
          <w:color w:val="000000"/>
          <w:position w:val="0"/>
          <w:sz w:val="20"/>
          <w:u w:val="none"/>
          <w:vertAlign w:val="baseline"/>
        </w:rPr>
        <w:t>Professional learning for culturally responsive teaching.</w:t>
      </w:r>
      <w:r>
        <w:rPr>
          <w:rFonts w:ascii="arial" w:eastAsia="arial" w:hAnsi="arial" w:cs="arial"/>
          <w:b w:val="0"/>
          <w:i w:val="0"/>
          <w:strike w:val="0"/>
          <w:noProof w:val="0"/>
          <w:color w:val="000000"/>
          <w:position w:val="0"/>
          <w:sz w:val="20"/>
          <w:u w:val="none"/>
          <w:vertAlign w:val="baseline"/>
        </w:rPr>
        <w:t xml:space="preserve"> Retrieved from </w:t>
      </w:r>
      <w:hyperlink r:id="rId20" w:history="1">
        <w:r>
          <w:rPr>
            <w:rFonts w:ascii="arial" w:eastAsia="arial" w:hAnsi="arial" w:cs="arial"/>
            <w:b w:val="0"/>
            <w:i/>
            <w:strike w:val="0"/>
            <w:noProof w:val="0"/>
            <w:color w:val="0077CC"/>
            <w:position w:val="0"/>
            <w:sz w:val="20"/>
            <w:u w:val="single"/>
            <w:vertAlign w:val="baseline"/>
          </w:rPr>
          <w:t>www.equityallianceatasu.org/sites/default/files/Web</w:t>
        </w:r>
      </w:hyperlink>
      <w:r>
        <w:rPr>
          <w:rFonts w:ascii="arial" w:eastAsia="arial" w:hAnsi="arial" w:cs="arial"/>
          <w:b w:val="0"/>
          <w:i/>
          <w:strike w:val="0"/>
          <w:noProof w:val="0"/>
          <w:color w:val="000000"/>
          <w:position w:val="0"/>
          <w:sz w:val="20"/>
          <w:u w:val="none"/>
          <w:vertAlign w:val="baseline"/>
        </w:rPr>
        <w:t xml:space="preserve"> site_files/exemplarFINAL.pdf.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Department of Education, Institute of Education Sciences. (2014). National Center for Education Statistics, National Assessment of Educational Progress (NAEP), The Nation's Report Card. Washington, DC: Author. Retrieved from </w:t>
      </w:r>
      <w:hyperlink r:id="rId21" w:history="1">
        <w:r>
          <w:rPr>
            <w:rFonts w:ascii="arial" w:eastAsia="arial" w:hAnsi="arial" w:cs="arial"/>
            <w:b w:val="0"/>
            <w:i/>
            <w:strike w:val="0"/>
            <w:noProof w:val="0"/>
            <w:color w:val="0077CC"/>
            <w:position w:val="0"/>
            <w:sz w:val="20"/>
            <w:u w:val="single"/>
            <w:vertAlign w:val="baseline"/>
          </w:rPr>
          <w:t>http://nationsreportcard.gov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the Department generally offers interested parties the opportunity to comment on proposed priorities and requirements. However, section 681(d) of the IDEA makes the public comment requirements of the APA inapplicable to the priority in this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20 U.S.C. 1463</w:t>
        </w:r>
      </w:hyperlink>
      <w:r>
        <w:rPr>
          <w:rFonts w:ascii="arial" w:eastAsia="arial" w:hAnsi="arial" w:cs="arial"/>
          <w:b w:val="0"/>
          <w:i w:val="0"/>
          <w:strike w:val="0"/>
          <w:noProof w:val="0"/>
          <w:color w:val="000000"/>
          <w:position w:val="0"/>
          <w:sz w:val="20"/>
          <w:u w:val="none"/>
          <w:vertAlign w:val="baseline"/>
        </w:rPr>
        <w:t xml:space="preserve"> and 1481.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Education Department debarment and suspension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adopted in 2 CFR part 3485 and the Uniform Administrative Requirements, Cost Principles, and Audit Requirements for Federal Awards as adopted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If a for-profit (commercial) organization is awarded a grant, it will be required to comply with the Uniform Guidance in 2 CFR part 200, as adopted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at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only to institutions of higher education (IHEs).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$ 1,200,000.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on the availability of funds and the quality of applications, we may make additional awards in FY 2016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$ 375,000 to $ 400,000.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w:t>
      </w:r>
      <w:r>
        <w:rPr>
          <w:rFonts w:ascii="arial" w:eastAsia="arial" w:hAnsi="arial" w:cs="arial"/>
          <w:b w:val="0"/>
          <w:i w:val="0"/>
          <w:strike w:val="0"/>
          <w:noProof w:val="0"/>
          <w:color w:val="000000"/>
          <w:position w:val="0"/>
          <w:sz w:val="20"/>
          <w:u w:val="none"/>
          <w:vertAlign w:val="baseline"/>
        </w:rPr>
        <w:t xml:space="preserve"> $ 400,000.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and not review any application that proposes a budget exceeding $ 400,000 for a single budget period of 12 months. The Assistant Secretary for Special Education and Rehabilitative Services may change the maximum amount through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48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State educational agencies (SEAs); LEAs, including public charter schools that are considered LEAs under State law; IHEs; other public agencies; private nonprofit organizations; outlying areas; freely associated States; Indian tribes or tribal organizations; and for-profit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Other: General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make positive efforts to employ, and advance in employment, qualified individuals with disabilities (see section 606 of the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Each applicant and grantee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involve individuals with disabilities or parents of individuals with disabilities ages birth through 26 in planning, implementing, and evaluating the project (see section 682(a)(1)(A) of the IDEA).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Education Publications Center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2"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3"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84.326M.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Limit: The application narrative (Part III of the application) is where you, the applicant, address the selection criteria that reviewers use to evaluate your application. You must limit Part III to the equivalent of no more than 50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Double space (no more than three lines per vertical inch) all text in the application narrative, including titles, headings, footnotes, quotations, references, and captions, as well as all </w:t>
      </w:r>
      <w:r>
        <w:rPr>
          <w:rFonts w:ascii="arial" w:eastAsia="arial" w:hAnsi="arial" w:cs="arial"/>
          <w:b/>
          <w:i w:val="0"/>
          <w:strike w:val="0"/>
          <w:noProof w:val="0"/>
          <w:color w:val="000000"/>
          <w:position w:val="0"/>
          <w:sz w:val="20"/>
          <w:u w:val="none"/>
          <w:vertAlign w:val="baseline"/>
        </w:rPr>
        <w:t> [*14100] </w:t>
      </w:r>
      <w:r>
        <w:rPr>
          <w:rFonts w:ascii="arial" w:eastAsia="arial" w:hAnsi="arial" w:cs="arial"/>
          <w:b w:val="0"/>
          <w:i w:val="0"/>
          <w:strike w:val="0"/>
          <w:noProof w:val="0"/>
          <w:color w:val="000000"/>
          <w:position w:val="0"/>
          <w:sz w:val="20"/>
          <w:u w:val="none"/>
          <w:vertAlign w:val="baseline"/>
        </w:rPr>
        <w:t xml:space="preserve">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Part I, the cover sheet; Part II, the budget section, including the narrative budget justification; Part IV, the assurances and certifications; or the abstract, the resumes, the bibliography, or the letters of support. However, the page limit does apply to all of the application narrative section (Part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 in the application narrative section; or if you apply standards other than those specified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Submission of Proprietary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types of projects that may be proposed in applications for the Technical Assistance and Dissemination to Improve Services and Results for Children with Disabilities--Model Demonstration Projects to Improve Adolescent Literacy for Students with Disabilities in Middle and High Schools, Grades 6-12, your application may include business information that you consider proprietary.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"business information" in 34 CFR 5.11.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Department's transparency policies, we make successful applicants' abstracts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Executive Order 12600, please designate in your application any information that you feel is exempt from disclosure under Exemption 4 of the Freedom of Information Act. In the appropriate Appendix section of your application, under "Other Attachments Form," please list the page number or numbers on which we can find this information. For additional information please see 34 CFR 5.11(c).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18,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May 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section IV. 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July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Unique Entity Identifier (UEI)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UEI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SAM relies on the identifier provided by Dun and Bradstreet (DUNS number) for the UEI. You can create a DUNS number within one business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2-5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may take seven or more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 If you are currently registered with the SAM, you may not need to make any changes. However, please make certain that the TIN associated with your DUNS number is correct. Also note that you will need to update your registration annually. This may take three or more business days to complete. Information about SAM is available at </w:t>
      </w:r>
      <w:hyperlink r:id="rId24"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your existing SAM account, we have prepared a SAM.gov Tip Sheet, which you can find at: </w:t>
      </w:r>
      <w:hyperlink r:id="rId25"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6"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Model Demonstration Projects on the Improvement of Adolescent Literacy for Students with Disabilities in Middle and High Schools in Grades 6-12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84.326M, must be submitted electronically using the Government-wide Grants.gov Apply site at </w:t>
      </w:r>
      <w:hyperlink r:id="rId27"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w:t>
      </w:r>
      <w:r>
        <w:rPr>
          <w:rFonts w:ascii="arial" w:eastAsia="arial" w:hAnsi="arial" w:cs="arial"/>
          <w:b/>
          <w:i w:val="0"/>
          <w:strike w:val="0"/>
          <w:noProof w:val="0"/>
          <w:color w:val="000000"/>
          <w:position w:val="0"/>
          <w:sz w:val="20"/>
          <w:u w:val="none"/>
          <w:vertAlign w:val="baseline"/>
        </w:rPr>
        <w:t> [*14101] </w:t>
      </w:r>
      <w:r>
        <w:rPr>
          <w:rFonts w:ascii="arial" w:eastAsia="arial" w:hAnsi="arial" w:cs="arial"/>
          <w:b w:val="0"/>
          <w:i w:val="0"/>
          <w:strike w:val="0"/>
          <w:noProof w:val="0"/>
          <w:color w:val="000000"/>
          <w:position w:val="0"/>
          <w:sz w:val="20"/>
          <w:u w:val="none"/>
          <w:vertAlign w:val="baseline"/>
        </w:rPr>
        <w:t xml:space="preserve">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Model Demonstration Projects to Improve Adolescent Literacy for Students with Disabilities in Middle and High Schools, Grades 6-12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27"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84.326, not 84.326M).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28"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PDF (Portable Document) read-only, non-modifiable format. Do not upload an interactive or fillable PDF file. If you upload a file type other than a read-only, non-modifiable PDF or submit a password-protected file, we will not review that material.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Address and mail or fax your statement to: Greg Knollman, U.S. Department of Education, 400 Maryland </w:t>
      </w:r>
      <w:r>
        <w:rPr>
          <w:rFonts w:ascii="arial" w:eastAsia="arial" w:hAnsi="arial" w:cs="arial"/>
          <w:b/>
          <w:i w:val="0"/>
          <w:strike w:val="0"/>
          <w:noProof w:val="0"/>
          <w:color w:val="000000"/>
          <w:position w:val="0"/>
          <w:sz w:val="20"/>
          <w:u w:val="none"/>
          <w:vertAlign w:val="baseline"/>
        </w:rPr>
        <w:t> [*14102] </w:t>
      </w:r>
      <w:r>
        <w:rPr>
          <w:rFonts w:ascii="arial" w:eastAsia="arial" w:hAnsi="arial" w:cs="arial"/>
          <w:b w:val="0"/>
          <w:i w:val="0"/>
          <w:strike w:val="0"/>
          <w:noProof w:val="0"/>
          <w:color w:val="000000"/>
          <w:position w:val="0"/>
          <w:sz w:val="20"/>
          <w:u w:val="none"/>
          <w:vertAlign w:val="baseline"/>
        </w:rPr>
        <w:t xml:space="preserve"> Avenue SW., Room 4096, Potomac Center Plaza (PCP), Washington, DC 20202-2600. FAX: (202) 245-7617.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84.326M),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84.326M),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provided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Additional Review and Selection Process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past, the Department has had difficulty finding peer reviewers for certain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because so many individuals who are eligible to serve as peer reviewers have conflicts of interest. The standing panel requirements under section 682(b) of IDEA also have placed additional constraints on the availability of reviewers. Therefore, the Department has determined that, for some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applications may be separated into two or more groups and ranked and selected for funding within specific groups. This procedure will make it easier for the Department to find peer reviewers, by ensuring that greater numbers of individuals who are eligible to serve as reviewers for any particular group of applicants will not have conflicts of interest. It also will increase the quality, independence, and fairness of the review process, while permitting panel members to review applications under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which they also have submitted applications. However, if the Department decides to select an equal number of applications in each group for funding, this may result in different cut-off points for fundable applications in each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2 CFR 3474.10, the Secretary may impose special conditions and, in appropriate circumstances, high risk conditions on a grant if the applicant or grantee is not financially stable; has a history of unsatisfactory performance; has a financial or other management system that does not meet the standards in 2 CFR part 200;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w:t>
      </w:r>
      <w:r>
        <w:rPr>
          <w:rFonts w:ascii="arial" w:eastAsia="arial" w:hAnsi="arial" w:cs="arial"/>
          <w:b/>
          <w:i w:val="0"/>
          <w:strike w:val="0"/>
          <w:noProof w:val="0"/>
          <w:color w:val="000000"/>
          <w:position w:val="0"/>
          <w:sz w:val="20"/>
          <w:u w:val="none"/>
          <w:vertAlign w:val="baseline"/>
        </w:rPr>
        <w:t> [*14103] </w:t>
      </w:r>
      <w:r>
        <w:rPr>
          <w:rFonts w:ascii="arial" w:eastAsia="arial" w:hAnsi="arial" w:cs="arial"/>
          <w:b w:val="0"/>
          <w:i w:val="0"/>
          <w:strike w:val="0"/>
          <w:noProof w:val="0"/>
          <w:color w:val="000000"/>
          <w:position w:val="0"/>
          <w:sz w:val="20"/>
          <w:u w:val="none"/>
          <w:vertAlign w:val="baseline"/>
        </w:rPr>
        <w:t xml:space="preserve"> information as directed by the Secretary under 34 CFR 75.118. The Secretary may also require more frequent performance reports under 34 CFR 75.720(c). For specific requirements on reporting, please go to </w:t>
      </w:r>
      <w:hyperlink r:id="rId29"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(GPRA), the Department has established a set of performance measures, including long-term measures, that are designed to yield information on various aspects of the effectiveness and quality of the Technical Assistance and Dissemination to Improve Services and Results for Children with Disabilities program. These measures focus on the extent to which projects provide high-quality products and services, the relevance of project products and services to educational and early intervention policy and practice, and the use of products and services to improve educational and early intervention policy and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will be required to report information on their project's performance in annual reports to the Department (34 CFR 75.590).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the Secretary may consider, under 34 CFR 75.253, the extent to which a grantee has made "substantial progress toward meeting the objectives in its approved application." This consideration includes the review of a grantee's progress in meeting the targets and projected outcomes in its approved application, and whether the grantee has expended funds in a manner that is consistent with its approved application and budget. 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Greg Knollman, U.S. Department of Education, 400 Maryland Avenue SW., Room 4096, PCP, Washington, DC 20202-2600. Telephone: (202) 245-6425.</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14097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71-NRF4-41BM-00000-00&amp;context=" TargetMode="External" /><Relationship Id="rId11" Type="http://schemas.openxmlformats.org/officeDocument/2006/relationships/hyperlink" Target="www.researchutilization.org/matrix/logicmodel_resource3c.html" TargetMode="External" /><Relationship Id="rId12" Type="http://schemas.openxmlformats.org/officeDocument/2006/relationships/hyperlink" Target="www.tadnet.org/pages/589" TargetMode="External" /><Relationship Id="rId13" Type="http://schemas.openxmlformats.org/officeDocument/2006/relationships/hyperlink" Target="https://advance.lexis.com/api/document?collection=statutes-legislation&amp;id=urn:contentItem:4YF7-GN31-NRF4-40GT-00000-00&amp;context=" TargetMode="External" /><Relationship Id="rId14" Type="http://schemas.openxmlformats.org/officeDocument/2006/relationships/hyperlink" Target="https://advance.lexis.com/api/document?collection=administrative-codes&amp;id=urn:contentItem:54CT-73J0-006W-82NC-00000-00&amp;context=" TargetMode="External" /><Relationship Id="rId15" Type="http://schemas.openxmlformats.org/officeDocument/2006/relationships/hyperlink" Target="www.ed.gov/fpco" TargetMode="External" /><Relationship Id="rId16" Type="http://schemas.openxmlformats.org/officeDocument/2006/relationships/hyperlink" Target="mailto:FERPA@ed.gov" TargetMode="External" /><Relationship Id="rId17" Type="http://schemas.openxmlformats.org/officeDocument/2006/relationships/hyperlink" Target="http://mdcc.sri.com/documents/reports/MDCC_Site_Assessment_Brief_09-30-11.pdf" TargetMode="External" /><Relationship Id="rId18" Type="http://schemas.openxmlformats.org/officeDocument/2006/relationships/hyperlink" Target="http://www2.ed.gov/programs/reapsrsa/index.html" TargetMode="External" /><Relationship Id="rId19" Type="http://schemas.openxmlformats.org/officeDocument/2006/relationships/hyperlink" Target="http://www2.ed.gov/programs/reaprlisp/eligibility.html" TargetMode="External" /><Relationship Id="rId2" Type="http://schemas.openxmlformats.org/officeDocument/2006/relationships/webSettings" Target="webSettings.xml" /><Relationship Id="rId20" Type="http://schemas.openxmlformats.org/officeDocument/2006/relationships/hyperlink" Target="www.equityallianceatasu.org/sites/default/files/Web" TargetMode="External" /><Relationship Id="rId21" Type="http://schemas.openxmlformats.org/officeDocument/2006/relationships/hyperlink" Target="http://nationsreportcard.gov" TargetMode="External" /><Relationship Id="rId22" Type="http://schemas.openxmlformats.org/officeDocument/2006/relationships/hyperlink" Target="www.EDPubs.gov" TargetMode="External" /><Relationship Id="rId23" Type="http://schemas.openxmlformats.org/officeDocument/2006/relationships/hyperlink" Target="mailto:edpubs@inet.ed.gov" TargetMode="External" /><Relationship Id="rId24" Type="http://schemas.openxmlformats.org/officeDocument/2006/relationships/hyperlink" Target="www.SAM.gov" TargetMode="External" /><Relationship Id="rId25" Type="http://schemas.openxmlformats.org/officeDocument/2006/relationships/hyperlink" Target="http://www2.ed.gov/fund/grant/apply/sam-faqs.html" TargetMode="External" /><Relationship Id="rId26" Type="http://schemas.openxmlformats.org/officeDocument/2006/relationships/hyperlink" Target="www.grants.gov/web/grants/register.html" TargetMode="External" /><Relationship Id="rId27" Type="http://schemas.openxmlformats.org/officeDocument/2006/relationships/hyperlink" Target="www.Grants.gov" TargetMode="External" /><Relationship Id="rId28" Type="http://schemas.openxmlformats.org/officeDocument/2006/relationships/hyperlink" Target="www.G5.gov" TargetMode="External" /><Relationship Id="rId29" Type="http://schemas.openxmlformats.org/officeDocument/2006/relationships/hyperlink" Target="www.ed.gov/fund/grant/apply/appforms/appforms.html" TargetMode="Externa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J4-4BJ0-006W-81HS-00000-00&amp;context=" TargetMode="External" /><Relationship Id="rId8" Type="http://schemas.openxmlformats.org/officeDocument/2006/relationships/hyperlink" Target="www.gpo.gov/fdsys" TargetMode="External" /><Relationship Id="rId9" Type="http://schemas.openxmlformats.org/officeDocument/2006/relationships/hyperlink" Target="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14097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71568628</vt:lpwstr>
  </property>
  <property fmtid="{D5CDD505-2E9C-101B-9397-08002B2CF9AE}" pid="3" name="LADocCount">
    <vt:lpwstr>1</vt:lpwstr>
  </property>
  <property fmtid="{D5CDD505-2E9C-101B-9397-08002B2CF9AE}" pid="4" name="UserPermID">
    <vt:lpwstr>urn:user:PA185916758</vt:lpwstr>
  </property>
</Properties>
</file>