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1439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006, Friday, January 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1439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January 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NYSE MKT LLC; Notice of Filing and Immediate Effectiveness of Proposed Rule Change Amending the Fees for NYSE MKT OpenBook MKT Order Imbalances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34-73987; File No. SR-NYSEMKT-2014-115]</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January 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n1 of the Securities Exchange Act of 1934 (the "Act") n2 and Rule 19b-4 thereunder, n3 notice is hereby given that, on December 23, 2014, NYSE MKT LLC (the "Exchange" or "NYSE MKT") filed with the Securities and Exchange Commission (the "Commission") the proposed rule change as described in Items I, II, and III below, which Items have been prepared by the self-regulatory organization.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fees for NYSE MKT OpenBook to establish eligibility requirements for redistribution on a managed non-display basis and to establish an access fee for managed non-display data recipients, operative on January 1, 2015. The text of the proposed rule change is available on the Exchange's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filing with the Commission, the self-regulatory organization included statements concerning the purpose of, and basis for, the proposed rule change and discussed any comments it received on the proposed rule change. The text of those statements may be examined at </w:t>
      </w:r>
      <w:r>
        <w:rPr>
          <w:rFonts w:ascii="arial" w:eastAsia="arial" w:hAnsi="arial" w:cs="arial"/>
          <w:b/>
          <w:i w:val="0"/>
          <w:strike w:val="0"/>
          <w:noProof w:val="0"/>
          <w:color w:val="000000"/>
          <w:position w:val="0"/>
          <w:sz w:val="20"/>
          <w:u w:val="none"/>
          <w:vertAlign w:val="baseline"/>
        </w:rPr>
        <w:t> [*1440] </w:t>
      </w:r>
      <w:r>
        <w:rPr>
          <w:rFonts w:ascii="arial" w:eastAsia="arial" w:hAnsi="arial" w:cs="arial"/>
          <w:b w:val="0"/>
          <w:i w:val="0"/>
          <w:strike w:val="0"/>
          <w:noProof w:val="0"/>
          <w:color w:val="000000"/>
          <w:position w:val="0"/>
          <w:sz w:val="20"/>
          <w:u w:val="none"/>
          <w:vertAlign w:val="baseline"/>
        </w:rPr>
        <w:t xml:space="preserve">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fees for NYSE MKT OpenBook, n4 as set forth on the NYSE MKT LLC Equities Proprietary Market Data Fee Schedule ("Fee Schedule") to establish eligibility requirements for redistribution of market data on a Managed Non-Display basis and to establish an access fee for Managed Non-Display data recipients, operative on January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69285 (Apr. 3, 2013), </w:t>
      </w:r>
      <w:r>
        <w:rPr>
          <w:rFonts w:ascii="arial" w:eastAsia="arial" w:hAnsi="arial" w:cs="arial"/>
          <w:b w:val="0"/>
          <w:i/>
          <w:strike w:val="0"/>
          <w:noProof w:val="0"/>
          <w:color w:val="000000"/>
          <w:position w:val="0"/>
          <w:sz w:val="20"/>
          <w:u w:val="none"/>
          <w:vertAlign w:val="baseline"/>
        </w:rPr>
        <w:t>78 FR 21172</w:t>
      </w:r>
      <w:r>
        <w:rPr>
          <w:rFonts w:ascii="arial" w:eastAsia="arial" w:hAnsi="arial" w:cs="arial"/>
          <w:b w:val="0"/>
          <w:i w:val="0"/>
          <w:strike w:val="0"/>
          <w:noProof w:val="0"/>
          <w:color w:val="000000"/>
          <w:position w:val="0"/>
          <w:sz w:val="20"/>
          <w:u w:val="none"/>
          <w:vertAlign w:val="baseline"/>
        </w:rPr>
        <w:t xml:space="preserve"> (Apr. 9, 2013) (SR-NYSEMKT-2013-32) and 72020 (Sept. 9, 2014), </w:t>
      </w:r>
      <w:hyperlink r:id="rId12" w:history="1">
        <w:r>
          <w:rPr>
            <w:rFonts w:ascii="arial" w:eastAsia="arial" w:hAnsi="arial" w:cs="arial"/>
            <w:b w:val="0"/>
            <w:i/>
            <w:strike w:val="0"/>
            <w:noProof w:val="0"/>
            <w:color w:val="0077CC"/>
            <w:position w:val="0"/>
            <w:sz w:val="20"/>
            <w:u w:val="single"/>
            <w:vertAlign w:val="baseline"/>
          </w:rPr>
          <w:t>79 FR 55040</w:t>
        </w:r>
      </w:hyperlink>
      <w:r>
        <w:rPr>
          <w:rFonts w:ascii="arial" w:eastAsia="arial" w:hAnsi="arial" w:cs="arial"/>
          <w:b w:val="0"/>
          <w:i w:val="0"/>
          <w:strike w:val="0"/>
          <w:noProof w:val="0"/>
          <w:color w:val="000000"/>
          <w:position w:val="0"/>
          <w:sz w:val="20"/>
          <w:u w:val="none"/>
          <w:vertAlign w:val="baseline"/>
        </w:rPr>
        <w:t xml:space="preserve"> (Sept. 15, 2014) (SR-NYSEMKT-2014-72) ("Non-Display Fee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Non-Display Use of NYSE MKT market data means accessing, processing, or consuming NYSE MKT market data delivered via direct and/or Redistributor n5 data feeds for a purpose other than in support of a data recipient's display or further internal or external redistribution. A Redistributor approved for Managed Non-Display Services manages and controls the access to NYSE MKT OpenBook and does not allow for further internal distribution or external redistribution of NYSE MKT OpenBook by the data recipients. Managed Non-Display Services Fees apply when a data recipient's non-display applications are hosted by a Redistributor that has been approved for Managed Non-Display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"Redistributor" means a vendor or any other person that provides an NYSE MKT data product to a data recipient or to any system that a data recipient uses, irrespective of the means of transmission or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Redistributor approved for Managed Non-Display Services is required to report to the Exchange on a monthly basis the data recipients that are receiving NYSE MKT OpenBook through the Redistributor's Managed Non-Display Service. A data recipient receiving NYSE MKT OpenBook through a Redistributor's Managed Non-Display Service does not have any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to be approved for Managed Non-Display Services, a Redistributor of the Managed Non-Display Services must be approved under the Unit-of-Count policy. n6 The Exchange is proposing to retire the Unit-of-Count Policy, and as a result, eligibility for Managed Non-Display Services of NYSE MKT Open Book would no longer be based on eligibility under the Unit-of-Count Policy. The Exchange proposes instead to establish eligibility requirements specifically for the redistribution of market data for Managed Non-Display Services. The Exchange also proposes to add an access fee that would apply to a data recipient that receives NYSE MKT OpenBook from an approved Redistributor of Managed Non-Display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Non-Display Fee filings,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eligibility requirements for the provision of Managed Non-Display Services would be similar to the eligibility requirements for the Unit-of-Count Policy in that they would require the Redistributor to manage and control the access to NYSE MKT OpenBook for data recipients' non-display applications and not allow for further internal distribution or external redistribution of the information by data recipients. In addition, to be eligible to provide Managed Non-Display Services, the Redistributor would be required to (a) host the data recipients' non-display applications in equipment located in the Redistributor's data center and/or hosted space/cage and (b) offer NYSE MKT OpenBook in the Redistributor's own messaging formats (rather than using raw NYSE message formats) by reformatting and/or altering NYSE MKT OpenBook prior to retransmission without affecting the integrity of NYSE MKT OpenBook and without rendering NYSE MKT OpenBook inaccurate, unfair, uninformative, fictitious, misleading or discriminatory. The proposed eligibility requirements are similar to data distribution models currently in use and align the Exchange with other markets.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70748 (Oct. 23, 2013), 70748 (Oct. 23, 2013), </w:t>
      </w:r>
      <w:hyperlink r:id="rId13" w:history="1">
        <w:r>
          <w:rPr>
            <w:rFonts w:ascii="arial" w:eastAsia="arial" w:hAnsi="arial" w:cs="arial"/>
            <w:b w:val="0"/>
            <w:i/>
            <w:strike w:val="0"/>
            <w:noProof w:val="0"/>
            <w:color w:val="0077CC"/>
            <w:position w:val="0"/>
            <w:sz w:val="20"/>
            <w:u w:val="single"/>
            <w:vertAlign w:val="baseline"/>
          </w:rPr>
          <w:t>78 FR 64569</w:t>
        </w:r>
      </w:hyperlink>
      <w:r>
        <w:rPr>
          <w:rFonts w:ascii="arial" w:eastAsia="arial" w:hAnsi="arial" w:cs="arial"/>
          <w:b w:val="0"/>
          <w:i w:val="0"/>
          <w:strike w:val="0"/>
          <w:noProof w:val="0"/>
          <w:color w:val="000000"/>
          <w:position w:val="0"/>
          <w:sz w:val="20"/>
          <w:u w:val="none"/>
          <w:vertAlign w:val="baseline"/>
        </w:rPr>
        <w:t xml:space="preserve"> (Oct. 29, 2013) (SR-Phlx-2013-105) (notice of filing and immediate effectiveness of proposed rule change to establish non-display Managed Data Solution for NASDAQ OMX PHLX ("Phlx")); 70269 (Aug. 27, 2013), </w:t>
      </w:r>
      <w:r>
        <w:rPr>
          <w:rFonts w:ascii="arial" w:eastAsia="arial" w:hAnsi="arial" w:cs="arial"/>
          <w:b w:val="0"/>
          <w:i/>
          <w:strike w:val="0"/>
          <w:noProof w:val="0"/>
          <w:color w:val="000000"/>
          <w:position w:val="0"/>
          <w:sz w:val="20"/>
          <w:u w:val="none"/>
          <w:vertAlign w:val="baseline"/>
        </w:rPr>
        <w:t>78 FR 54336</w:t>
      </w:r>
      <w:r>
        <w:rPr>
          <w:rFonts w:ascii="arial" w:eastAsia="arial" w:hAnsi="arial" w:cs="arial"/>
          <w:b w:val="0"/>
          <w:i w:val="0"/>
          <w:strike w:val="0"/>
          <w:noProof w:val="0"/>
          <w:color w:val="000000"/>
          <w:position w:val="0"/>
          <w:sz w:val="20"/>
          <w:u w:val="none"/>
          <w:vertAlign w:val="baseline"/>
        </w:rPr>
        <w:t xml:space="preserve"> (Sept. 3, 2013) (SR-NASDAQ-2013-106) (notice of filing and immediate effectiveness of proposed rule change to establish non-display Managed Data Solution for NASDAQ Stock Market ("Nasdaq")); and 69182 (Mar. 19, 2013), </w:t>
      </w:r>
      <w:hyperlink r:id="rId14" w:history="1">
        <w:r>
          <w:rPr>
            <w:rFonts w:ascii="arial" w:eastAsia="arial" w:hAnsi="arial" w:cs="arial"/>
            <w:b w:val="0"/>
            <w:i/>
            <w:strike w:val="0"/>
            <w:noProof w:val="0"/>
            <w:color w:val="0077CC"/>
            <w:position w:val="0"/>
            <w:sz w:val="20"/>
            <w:u w:val="single"/>
            <w:vertAlign w:val="baseline"/>
          </w:rPr>
          <w:t>78 FR 18378</w:t>
        </w:r>
      </w:hyperlink>
      <w:r>
        <w:rPr>
          <w:rFonts w:ascii="arial" w:eastAsia="arial" w:hAnsi="arial" w:cs="arial"/>
          <w:b w:val="0"/>
          <w:i w:val="0"/>
          <w:strike w:val="0"/>
          <w:noProof w:val="0"/>
          <w:color w:val="000000"/>
          <w:position w:val="0"/>
          <w:sz w:val="20"/>
          <w:u w:val="none"/>
          <w:vertAlign w:val="baseline"/>
        </w:rPr>
        <w:t xml:space="preserve"> (Mar. 26, 2013) (SR-Phlx-2013-28) (notice of filing and immediate effectiveness of proposed rule change to establish non-display Managed Data Solution for Phlx equities market PSX).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reporting requirements associated with the Managed Non-Display Service would not change. A Redistributor approved for Managed Non-Display Service would be required to report to the Exchange on a monthly basis the data recipients that are receiving NYSE MKT OpenBook through the Redistributor's Managed Non-Display Service. A data recipient receiving NYSE MKT OpenBook through a Redistributor's Managed Non-Display Service would continue not to have any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Exchange proposes to adopt an Access Fee of $ 500/month applicable only to data recipients that receive NYSE MKT OpenBook from an approved Redistributor of Managed Non-Display Services, operative January 1, 2015. Currently, data recipients, including recipients of Managed Non-Display Services, are required to pay an Access Fee of $ 1,000/month to receive NYSE MKT OpenBook. Because the purpose of an access fee is to charge data recipients for access to the Exchange's proprietary market data, the Exchange believes it is appropriate to charge an access fee to all data recipients, including recipients of Managed Non-Display Services. n8 In recognition that data recipients of Managed Non-Display Services receive NYSE MKT OpenBook in a controlled format, the Exchange proposes to establish an Access Fee that would be applicable only to data recipients of Managed Non-Display Services and that would be half the size of the current Access Fee. In connection with this change, the Exchange also proposes to amend the Fee Schedule to specify that the current Access Fee of $ 1,000/month is charged to data recipients other than those receiving data through Managed Non-Display Services. The proposed Managed Non-Display Access fee would be in addition to the current Managed Non-Display Services Fee of $ 750/month by each data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In order to harmonize its approach to fees for its market data products, the Exchange is proposing to establish an access fee for Managed Non-Display Services for NYSE MKT BBO, NYSE MKT Trades, and NYSE MKT Order Imbalances that are also half of the existing access fee for each respective data feed.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SR-NYSEMKT-2014-113 and SR-NYSEMKT-2014-114.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n9 in general, and Sections 6(b)(4) and 6(b)(5) of the Act, n10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5"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5"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revising the eligibility requirements for Managed Non-Display Services so that the requirements are more closely aligned </w:t>
      </w:r>
      <w:r>
        <w:rPr>
          <w:rFonts w:ascii="arial" w:eastAsia="arial" w:hAnsi="arial" w:cs="arial"/>
          <w:b/>
          <w:i w:val="0"/>
          <w:strike w:val="0"/>
          <w:noProof w:val="0"/>
          <w:color w:val="000000"/>
          <w:position w:val="0"/>
          <w:sz w:val="20"/>
          <w:u w:val="none"/>
          <w:vertAlign w:val="baseline"/>
        </w:rPr>
        <w:t> [*1441] </w:t>
      </w:r>
      <w:r>
        <w:rPr>
          <w:rFonts w:ascii="arial" w:eastAsia="arial" w:hAnsi="arial" w:cs="arial"/>
          <w:b w:val="0"/>
          <w:i w:val="0"/>
          <w:strike w:val="0"/>
          <w:noProof w:val="0"/>
          <w:color w:val="000000"/>
          <w:position w:val="0"/>
          <w:sz w:val="20"/>
          <w:u w:val="none"/>
          <w:vertAlign w:val="baseline"/>
        </w:rPr>
        <w:t xml:space="preserve"> with the nature of the services being provided is reasonable. The proposed additional requirements for hosting in the Redistributor's data center and for reformatting and/or altering the market data prior to retransmission are also consistent with similar requirements of other markets for the provision of managed data.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Access Fee for Managed Non-Display Services is reasonable, because the data is of value to recipients, and it is reasonable to charge them a lower access fee because they are receiving the data through a Redistributor in a controlled form rather than from the Exchange in raw form. The Exchange believes that the proposed fee directly and appropriately reflects the significant value of using non-display data in a wide range of computer-automated functions relating to both trading and non-trading activities and that the number and range of these functions continue to grow through innovation and technology developments. NASDAQ and Phlx also both offer managed non-display data solutions and charge access fees for such services. n12 The fee is also equitable and not unfairly discriminatory because it would apply to all data recipients that choose to subscribe to Managed Non-Display Services for NYSE MKT OpenBook.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 NASDAQ offers a Managed Data Solution that assesses a monthly Managed Data Solution Administration fee of $ 1,500 and monthly Subscriber fees of $ 60 for non-professionals to $ 300 for professionals.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7026(b). Phlx charges a monthly Managed Data Solution Administration fee of $ 2,000 and a monthly Subscriber fee of $ 500. The monthly License fee is in addition to the monthly Distributor fee of $ 3,500 (for external usage), and the $ 500 monthly Subscriber fee is assessed for each Subscriber of a Managed Data Solution.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70748 (Oct. 23, 2013), </w:t>
      </w:r>
      <w:hyperlink r:id="rId13" w:history="1">
        <w:r>
          <w:rPr>
            <w:rFonts w:ascii="arial" w:eastAsia="arial" w:hAnsi="arial" w:cs="arial"/>
            <w:b w:val="0"/>
            <w:i/>
            <w:strike w:val="0"/>
            <w:noProof w:val="0"/>
            <w:color w:val="0077CC"/>
            <w:position w:val="0"/>
            <w:sz w:val="20"/>
            <w:u w:val="single"/>
            <w:vertAlign w:val="baseline"/>
          </w:rPr>
          <w:t>78 FR 64569</w:t>
        </w:r>
      </w:hyperlink>
      <w:r>
        <w:rPr>
          <w:rFonts w:ascii="arial" w:eastAsia="arial" w:hAnsi="arial" w:cs="arial"/>
          <w:b w:val="0"/>
          <w:i w:val="0"/>
          <w:strike w:val="0"/>
          <w:noProof w:val="0"/>
          <w:color w:val="000000"/>
          <w:position w:val="0"/>
          <w:sz w:val="20"/>
          <w:u w:val="none"/>
          <w:vertAlign w:val="baseline"/>
        </w:rPr>
        <w:t xml:space="preserve"> (Oct. 29, 2013) (SR-Phlx-2013-105).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are also equitable and not unfairly discriminatory because they will apply to all data recipients that choose to subscribe to the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MKT OpenBook is entirely optional. The Exchange is not required to make NYSE MKT OpenBook available or to offer any specific pricing alternatives to any customers, nor is any firm required to purchase NYSE MKT OpenBook. Firms that do purchase NYSE MKT OpenBook do so for the primary goals of using it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MKT OpenBook or any other similar products are attractively priced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Firms that do not wish to purchase NYSE MKT OpenBook at the new prices have a variety of alternative market data products from which to choose, n13 or if NYSE MKT OpenBook does not provide sufficient value to firms as offered based on the uses those firms have or planned to make of it, such firms may simply choose to conduct their business operations in ways that do not use NYSE MKT OpenBook. The Exchange notes that broker-dealers are not required to purchase proprietary market data to comply with their best execution obligations. n14 Similarly, there is no requirement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or any other rule that proprietary data be utilized for order routing decisions, and some broker-dealers and ATSs have chosen not to do so.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 (Nasdaq Totalview) and BATS Rule 11.22.(a) and (c)(BATS TCP Pitch and Multicast Pitch.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the Matter of the Application of Securities Industry And Financial Markets Association For Review of Actions Taken by Self-Regulatory Organizations, Release Nos. 34-72182; AP-3-15350; AP-3-15351 (May 16,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For example, Goldman Sachs Execution and Clearing, L.P. has disclosed that it does not use proprietary market data in connection with Sigma X, its ATS.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response to Question E3, available at </w:t>
      </w:r>
      <w:hyperlink r:id="rId16" w:history="1">
        <w:r>
          <w:rPr>
            <w:rFonts w:ascii="arial" w:eastAsia="arial" w:hAnsi="arial" w:cs="arial"/>
            <w:b w:val="0"/>
            <w:i/>
            <w:strike w:val="0"/>
            <w:noProof w:val="0"/>
            <w:color w:val="0077CC"/>
            <w:position w:val="0"/>
            <w:sz w:val="20"/>
            <w:u w:val="single"/>
            <w:vertAlign w:val="baseline"/>
          </w:rPr>
          <w:t>http://www.goldmansachs.com/media-relations/in-the-news/current/pdf-media/gsec-order-handling-practices-ats-specific.pdf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By way of comparison, IEX has disclosed that it uses proprietary market data feeds from all registered stock exchanges and the LavaFlow ECN. </w:t>
      </w:r>
      <w:r>
        <w:rPr>
          <w:rFonts w:ascii="arial" w:eastAsia="arial" w:hAnsi="arial" w:cs="arial"/>
          <w:b w:val="0"/>
          <w:i/>
          <w:strike w:val="0"/>
          <w:noProof w:val="0"/>
          <w:color w:val="000000"/>
          <w:position w:val="0"/>
          <w:sz w:val="20"/>
          <w:u w:val="none"/>
          <w:vertAlign w:val="baseline"/>
        </w:rPr>
        <w:t xml:space="preserve">See </w:t>
      </w:r>
      <w:hyperlink r:id="rId17" w:history="1">
        <w:r>
          <w:rPr>
            <w:rFonts w:ascii="arial" w:eastAsia="arial" w:hAnsi="arial" w:cs="arial"/>
            <w:b w:val="0"/>
            <w:i/>
            <w:strike w:val="0"/>
            <w:noProof w:val="0"/>
            <w:color w:val="0077CC"/>
            <w:position w:val="0"/>
            <w:sz w:val="20"/>
            <w:u w:val="single"/>
            <w:vertAlign w:val="baseline"/>
          </w:rPr>
          <w:t>http://www.iextrading.com/about/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18"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18"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18"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these data products, such as consolidated data and proprietary data from other sources, as described below,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non-core market data would be so complicated that it could not be done practically or offer any significant benefits.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19"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val="0"/>
          <w:strike w:val="0"/>
          <w:noProof w:val="0"/>
          <w:color w:val="000000"/>
          <w:position w:val="0"/>
          <w:sz w:val="20"/>
          <w:u w:val="none"/>
          <w:vertAlign w:val="baseline"/>
        </w:rPr>
        <w:t> [*1442] </w:t>
      </w:r>
      <w:r>
        <w:rPr>
          <w:rFonts w:ascii="arial" w:eastAsia="arial" w:hAnsi="arial" w:cs="arial"/>
          <w:b w:val="0"/>
          <w:i w:val="0"/>
          <w:strike w:val="0"/>
          <w:noProof w:val="0"/>
          <w:color w:val="000000"/>
          <w:position w:val="0"/>
          <w:sz w:val="20"/>
          <w:u w:val="none"/>
          <w:vertAlign w:val="baseline"/>
        </w:rPr>
        <w:t xml:space="preserve">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Complaint in U.S. v. Deutsche Borse AG and NYSE Euronext, Case No. 11-cv-2280 (DC Dist.)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n19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Concept Release on Equity Market Structure, Securities Exchange Act Release No. 61358 (Jan. 14, 2010), </w:t>
      </w:r>
      <w:hyperlink r:id="rId21"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1"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22"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its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using them in support of order routing and trading decisions in light of the diminished content;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correspondingly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MKT OpenBook unless their customers request it, and customers will not elect to pay the proposed fees unless NYSE MKT OpenBook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proprietary market data and trade executions are a paradigmatic example of joint products with joint costs. The decision of whether and on which platform to post an order will depend on the attributes of the platforms where the order can be posted, including the execution fees, data availability and quality, and price and distribution of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 There is substantial evidence of the strong correlation between order flow and market data purchases. For example, in November 2014 more than 80% of the transaction volume on each of NYSE MKT and NYSE MKT's affiliates New York Stock Exchange LLC ("NYSE") and NYSE Arca, Inc. ("NYSE Arca") was executed by market participants that purchased one or more proprietary market data products (the 20 firms were not the same for each market). A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for either executions or market data would </w:t>
      </w:r>
      <w:r>
        <w:rPr>
          <w:rFonts w:ascii="arial" w:eastAsia="arial" w:hAnsi="arial" w:cs="arial"/>
          <w:b/>
          <w:i w:val="0"/>
          <w:strike w:val="0"/>
          <w:noProof w:val="0"/>
          <w:color w:val="000000"/>
          <w:position w:val="0"/>
          <w:sz w:val="20"/>
          <w:u w:val="none"/>
          <w:vertAlign w:val="baseline"/>
        </w:rPr>
        <w:t> [*1443] </w:t>
      </w:r>
      <w:r>
        <w:rPr>
          <w:rFonts w:ascii="arial" w:eastAsia="arial" w:hAnsi="arial" w:cs="arial"/>
          <w:b w:val="0"/>
          <w:i w:val="0"/>
          <w:strike w:val="0"/>
          <w:noProof w:val="0"/>
          <w:color w:val="000000"/>
          <w:position w:val="0"/>
          <w:sz w:val="20"/>
          <w:u w:val="none"/>
          <w:vertAlign w:val="baseline"/>
        </w:rPr>
        <w:t xml:space="preserve"> create a risk of reducing an exchange's revenues from both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n21 The Exchange agrees with and adopts those discussions and the arguments therein. The Exchange also notes that the economics literature confirms that there is no way to allocate common costs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23"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24"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25"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 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12 equities self-regulatory organization ("SRO") markets, as well as various forms of ATSs, including dark pools and electronic communication networks ("ECNs"), and internalizing broker-dealers. SRO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produce transaction reports via trade executions, and two FINRA-regulated Trade Reporting Facilities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transaction reports from the non-SRO venues.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FINRA's Alternative Display Facility also receives over-the-counter trade reports that it sends to CTA.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example, BATS and Direct Edge, which previously operated as ATSs and obtained exchange status in 2008 and 2010, respectively, have provided certain market data at no charge on their Web sites in order to attract more order flow, and use revenue rebates from resulting additional executions to maintain low execution charges for their users. n24 Similarly, LavaFlow ECN provides market data to its subscribers at no charge. n25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"LavaFlow--ADF Migration," available at </w:t>
      </w:r>
      <w:hyperlink r:id="rId26" w:history="1">
        <w:r>
          <w:rPr>
            <w:rFonts w:ascii="arial" w:eastAsia="arial" w:hAnsi="arial" w:cs="arial"/>
            <w:b w:val="0"/>
            <w:i/>
            <w:strike w:val="0"/>
            <w:noProof w:val="0"/>
            <w:color w:val="0077CC"/>
            <w:position w:val="0"/>
            <w:sz w:val="20"/>
            <w:u w:val="single"/>
            <w:vertAlign w:val="baseline"/>
          </w:rPr>
          <w:t>https://www.lavatrading.com/news/pdf/LavaFlow_ADF_Migration.pdf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ATSs, and internalizing broker-dealers that currently produce proprietary data or are currently capable of producing it provides further pricing discipline for proprietary data products. Each SRO, ATS, and broker-dealer is currently permitted to produce and sell proprietary data products, and many currently do or have announced plans to do so, including but not limited to the Exchange, NYSE, NYSE Arca, NASDAQ OMX, BATS, and 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internalizing broker-dealers,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actual number of orders and transaction reports that exist in the marketplace. With respect to NYSE MKT OpenBook,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offer closer substitute products. n26 Because market data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imposed by available alternatives are evident in the Exchange's proposed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BATS Trading and Direct Edge. As noted above, BATS launched as an ATS in 2006 and became an exchange in 2008, while Direct Edge began operations in 2007 and obtained exchange status in 2010. As noted above, LavaFlow ECN provides market data to its subscribers at no charge.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25. </w:t>
      </w:r>
      <w:r>
        <w:rPr>
          <w:rFonts w:ascii="arial" w:eastAsia="arial" w:hAnsi="arial" w:cs="arial"/>
          <w:b/>
          <w:i w:val="0"/>
          <w:strike w:val="0"/>
          <w:noProof w:val="0"/>
          <w:color w:val="000000"/>
          <w:position w:val="0"/>
          <w:sz w:val="20"/>
          <w:u w:val="none"/>
          <w:vertAlign w:val="baseline"/>
        </w:rPr>
        <w:t> [*1444]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setting the proposed fees,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numerous alternatives to the Exchange's products, including proprietary data from other sources,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is effective upon filing pursuant to Section 19(b)(3)(A) n28 of the Act and subparagraph (f)(2) of Rule 19b-4 n29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10"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n30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8"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SR-NYSEMKT-2014-115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SR-NYSEMKT-2014-115. This file number should be included on the subject line if email is used. To help the Commission process and review your comments more efficiently, please use only one method. The Commission will post all comments on the Commission's Internet Web site (</w:t>
      </w:r>
      <w:hyperlink r:id="rId2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will be available for Web site viewing and printing in the Commission's Public Reference Room, 100 F Street NE., Washington, DC 20549, on official business days between the hours of 10:00 a.m. and 3:00 p.m. Copies of the filing will also be available for inspection and copying at the NYSE's principal office and on its Internet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comments received will be posted without change; the Commission does not edit personal identifying information from submissions. You should submit only information that you wish to make available publicly. All submissions should refer to File Number SR-NYSEMKT-2014-115 and should be submitted on or before January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29"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authority.&lt;31&gt;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2015-00133 Filed 1-8-15;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1439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N20-008G-Y15M-00000-00&amp;context=" TargetMode="External" /><Relationship Id="rId11" Type="http://schemas.openxmlformats.org/officeDocument/2006/relationships/hyperlink" Target="www.nyse.com" TargetMode="External" /><Relationship Id="rId12" Type="http://schemas.openxmlformats.org/officeDocument/2006/relationships/hyperlink" Target="https://advance.lexis.com/api/document?collection=administrative-codes&amp;id=urn:contentItem:5D4W-7300-006W-83PP-00000-00&amp;context=" TargetMode="External" /><Relationship Id="rId13" Type="http://schemas.openxmlformats.org/officeDocument/2006/relationships/hyperlink" Target="https://advance.lexis.com/api/document?collection=administrative-codes&amp;id=urn:contentItem:59PF-BJS0-006W-8009-00000-00&amp;context=" TargetMode="External" /><Relationship Id="rId14" Type="http://schemas.openxmlformats.org/officeDocument/2006/relationships/hyperlink" Target="https://advance.lexis.com/api/document?collection=administrative-codes&amp;id=urn:contentItem:5825-3C80-006W-82F2-00000-00&amp;context=" TargetMode="External" /><Relationship Id="rId15" Type="http://schemas.openxmlformats.org/officeDocument/2006/relationships/hyperlink" Target="https://advance.lexis.com/api/document?collection=statutes-legislation&amp;id=urn:contentItem:4YF7-GPC1-NRF4-4309-00000-00&amp;context=" TargetMode="External" /><Relationship Id="rId16" Type="http://schemas.openxmlformats.org/officeDocument/2006/relationships/hyperlink" Target="http://www.goldmansachs.com/media-relations/in-the-news/current/pdf-media/gsec-order-handling-practices-ats-specific.pdf" TargetMode="External" /><Relationship Id="rId17" Type="http://schemas.openxmlformats.org/officeDocument/2006/relationships/hyperlink" Target="http://www.iextrading.com/about/" TargetMode="External" /><Relationship Id="rId18" Type="http://schemas.openxmlformats.org/officeDocument/2006/relationships/hyperlink" Target="https://advance.lexis.com/api/document?collection=cases&amp;id=urn:contentItem:803V-DT30-YB0V-T01B-00000-00&amp;context=" TargetMode="External" /><Relationship Id="rId19" Type="http://schemas.openxmlformats.org/officeDocument/2006/relationships/hyperlink" Target="http://www.sec.gov/rules/concept/s72899/buck1.htm" TargetMode="External" /><Relationship Id="rId2" Type="http://schemas.openxmlformats.org/officeDocument/2006/relationships/webSettings" Target="webSettings.xml" /><Relationship Id="rId20" Type="http://schemas.openxmlformats.org/officeDocument/2006/relationships/hyperlink" Target="http://www.justice.gov/iso/opa/atr/speeches/2011/at-speech-110516.html" TargetMode="External" /><Relationship Id="rId21" Type="http://schemas.openxmlformats.org/officeDocument/2006/relationships/hyperlink" Target="https://advance.lexis.com/api/document?collection=administrative-codes&amp;id=urn:contentItem:4Y6T-4FW0-006W-80SB-00000-00&amp;context=" TargetMode="External" /><Relationship Id="rId22" Type="http://schemas.openxmlformats.org/officeDocument/2006/relationships/hyperlink" Target="https://www.arcavision.com/Arcavision/arcalogin.jsp" TargetMode="External" /><Relationship Id="rId23" Type="http://schemas.openxmlformats.org/officeDocument/2006/relationships/hyperlink" Target="https://advance.lexis.com/api/document?collection=administrative-codes&amp;id=urn:contentItem:5C6V-V6N0-006W-80W6-00000-00&amp;context=" TargetMode="External" /><Relationship Id="rId24" Type="http://schemas.openxmlformats.org/officeDocument/2006/relationships/hyperlink" Target="https://advance.lexis.com/api/document?collection=administrative-codes&amp;id=urn:contentItem:512C-NGP0-006W-82VF-00000-00&amp;context=" TargetMode="External" /><Relationship Id="rId25" Type="http://schemas.openxmlformats.org/officeDocument/2006/relationships/hyperlink" Target="https://advance.lexis.com/api/document?collection=administrative-codes&amp;id=urn:contentItem:512C-NGP0-006W-82VH-00000-00&amp;context=" TargetMode="External" /><Relationship Id="rId26" Type="http://schemas.openxmlformats.org/officeDocument/2006/relationships/hyperlink" Target="https://www.lavatrading.com/news/pdf/LavaFlow_ADF_Migration.pdf" TargetMode="External" /><Relationship Id="rId27" Type="http://schemas.openxmlformats.org/officeDocument/2006/relationships/hyperlink" Target="http://www.sec.gov/rules/sro.shtml" TargetMode="External" /><Relationship Id="rId28" Type="http://schemas.openxmlformats.org/officeDocument/2006/relationships/hyperlink" Target="mailto:rule-comments@sec.gov" TargetMode="External" /><Relationship Id="rId29" Type="http://schemas.openxmlformats.org/officeDocument/2006/relationships/hyperlink" Target="https://advance.lexis.com/api/document?collection=administrative-codes&amp;id=urn:contentItem:5SPP-2120-008G-Y2ND-00000-00&amp;context=" TargetMode="Externa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1M-0BM0-006W-84P8-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statutes-legislation&amp;id=urn:contentItem:4YF7-GHK1-NRF4-42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1456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71343161</vt:lpwstr>
  </property>
  <property fmtid="{D5CDD505-2E9C-101B-9397-08002B2CF9AE}" pid="3" name="LADocCount">
    <vt:lpwstr>1</vt:lpwstr>
  </property>
  <property fmtid="{D5CDD505-2E9C-101B-9397-08002B2CF9AE}" pid="4" name="UserPermID">
    <vt:lpwstr>urn:user:PA185916758</vt:lpwstr>
  </property>
</Properties>
</file>