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1444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006, Friday, January 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1444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MKT LLC; Notice of Filing and Immediate Effectiveness of Proposed Rule Change Amending the Fees for NYSE MKT BBO and NYSE MKT Trades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34-73986; File No. SR-NYSEMKT-2014-113]</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December 23, 2014, NYSE MKT LLC (the "Exchange" or "NYSE MKT")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MKT BBO and NYSE MKT Trades to: (1) Change the way the user fee is calculated and applied, operative on January 1, 2015; and (2) establish eligibility requirements for redistribution on a managed non-display basis and an access fee for managed non-display data recipients, operative on January 1, 2015. The text of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 </w:t>
      </w:r>
      <w:r>
        <w:rPr>
          <w:rFonts w:ascii="arial" w:eastAsia="arial" w:hAnsi="arial" w:cs="arial"/>
          <w:b/>
          <w:i w:val="0"/>
          <w:strike w:val="0"/>
          <w:noProof w:val="0"/>
          <w:color w:val="000000"/>
          <w:position w:val="0"/>
          <w:sz w:val="20"/>
          <w:u w:val="none"/>
          <w:vertAlign w:val="baseline"/>
        </w:rPr>
        <w:t> [*1445]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MKT BBO and NYSE MKT Trades data feeds, as set forth on the NYSE MKT LLC Equities Proprietary Market Data Fee Schedule ("Fee Schedule"),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change the way the user fees are calculated and applied by eliminating the unit-of-count policy, operative on January 1, 2015;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eligibility requirements for redistribution of market data on a Managed Non-Display basis and establish an access fee for Managed Non-Display data recipients, operative on January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the Method of Calculating and Applying 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display use of the NYSE MKT BBO and NYSE MKT Trades data feeds, the Fee Schedule sets forth a Professional User Fee of $ 1 per month or a Non-Professional User Fee of $ 0.05 per month. These user fees generally apply to each display device that has access to NYSE MKT BBO or NYSE MKT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Vendors and subscribers that are eligible for the Unit-of-Count Policy may avail themselves of an alternative method for counting how many user fees should be charged for display use of the NYSE MKT BBO and NYSE MKT Trades data feeds. The Unit-of-Count Policy was first introduced by the Exchange's affiliate, New York Stock Exchange LLC ("NYSE"), as a pilot in 2009 for its NYSE OpenBook data feed n4 and is available for NYSE MKT BBO and NYSE MKT Trades. n5 Since April 2013, the Unit-of-Count Policy has applied only to user fees associated with display usage.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59544 (Mar. 9, 2009), </w:t>
      </w:r>
      <w:hyperlink r:id="rId12" w:history="1">
        <w:r>
          <w:rPr>
            <w:rFonts w:ascii="arial" w:eastAsia="arial" w:hAnsi="arial" w:cs="arial"/>
            <w:b w:val="0"/>
            <w:i/>
            <w:strike w:val="0"/>
            <w:noProof w:val="0"/>
            <w:color w:val="0077CC"/>
            <w:position w:val="0"/>
            <w:sz w:val="20"/>
            <w:u w:val="single"/>
            <w:vertAlign w:val="baseline"/>
          </w:rPr>
          <w:t>74 FR 11162</w:t>
        </w:r>
      </w:hyperlink>
      <w:r>
        <w:rPr>
          <w:rFonts w:ascii="arial" w:eastAsia="arial" w:hAnsi="arial" w:cs="arial"/>
          <w:b w:val="0"/>
          <w:i w:val="0"/>
          <w:strike w:val="0"/>
          <w:noProof w:val="0"/>
          <w:color w:val="000000"/>
          <w:position w:val="0"/>
          <w:sz w:val="20"/>
          <w:u w:val="none"/>
          <w:vertAlign w:val="baseline"/>
        </w:rPr>
        <w:t xml:space="preserve"> (Mar. 16, 2009) (SR-NYSE-2008-131) and 62038 (May 5, 2010), </w:t>
      </w:r>
      <w:hyperlink r:id="rId13" w:history="1">
        <w:r>
          <w:rPr>
            <w:rFonts w:ascii="arial" w:eastAsia="arial" w:hAnsi="arial" w:cs="arial"/>
            <w:b w:val="0"/>
            <w:i/>
            <w:strike w:val="0"/>
            <w:noProof w:val="0"/>
            <w:color w:val="0077CC"/>
            <w:position w:val="0"/>
            <w:sz w:val="20"/>
            <w:u w:val="single"/>
            <w:vertAlign w:val="baseline"/>
          </w:rPr>
          <w:t>75 FR 26825</w:t>
        </w:r>
      </w:hyperlink>
      <w:r>
        <w:rPr>
          <w:rFonts w:ascii="arial" w:eastAsia="arial" w:hAnsi="arial" w:cs="arial"/>
          <w:b w:val="0"/>
          <w:i w:val="0"/>
          <w:strike w:val="0"/>
          <w:noProof w:val="0"/>
          <w:color w:val="000000"/>
          <w:position w:val="0"/>
          <w:sz w:val="20"/>
          <w:u w:val="none"/>
          <w:vertAlign w:val="baseline"/>
        </w:rPr>
        <w:t xml:space="preserve"> (May 12, 2010) (SR-NYSE-2010-22).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61936 (Apr. 16, 2010), </w:t>
      </w:r>
      <w:hyperlink r:id="rId14" w:history="1">
        <w:r>
          <w:rPr>
            <w:rFonts w:ascii="arial" w:eastAsia="arial" w:hAnsi="arial" w:cs="arial"/>
            <w:b w:val="0"/>
            <w:i/>
            <w:strike w:val="0"/>
            <w:noProof w:val="0"/>
            <w:color w:val="0077CC"/>
            <w:position w:val="0"/>
            <w:sz w:val="20"/>
            <w:u w:val="single"/>
            <w:vertAlign w:val="baseline"/>
          </w:rPr>
          <w:t>75 FR 21088</w:t>
        </w:r>
      </w:hyperlink>
      <w:r>
        <w:rPr>
          <w:rFonts w:ascii="arial" w:eastAsia="arial" w:hAnsi="arial" w:cs="arial"/>
          <w:b w:val="0"/>
          <w:i w:val="0"/>
          <w:strike w:val="0"/>
          <w:noProof w:val="0"/>
          <w:color w:val="000000"/>
          <w:position w:val="0"/>
          <w:sz w:val="20"/>
          <w:u w:val="none"/>
          <w:vertAlign w:val="baseline"/>
        </w:rPr>
        <w:t xml:space="preserve"> (Apr. 22, 2010) (SR-NYSEAmex-2010-30 (notice) and 62187 (May 27, 2010), </w:t>
      </w:r>
      <w:hyperlink r:id="rId15" w:history="1">
        <w:r>
          <w:rPr>
            <w:rFonts w:ascii="arial" w:eastAsia="arial" w:hAnsi="arial" w:cs="arial"/>
            <w:b w:val="0"/>
            <w:i/>
            <w:strike w:val="0"/>
            <w:noProof w:val="0"/>
            <w:color w:val="0077CC"/>
            <w:position w:val="0"/>
            <w:sz w:val="20"/>
            <w:u w:val="single"/>
            <w:vertAlign w:val="baseline"/>
          </w:rPr>
          <w:t>75 FR 31500</w:t>
        </w:r>
      </w:hyperlink>
      <w:r>
        <w:rPr>
          <w:rFonts w:ascii="arial" w:eastAsia="arial" w:hAnsi="arial" w:cs="arial"/>
          <w:b w:val="0"/>
          <w:i w:val="0"/>
          <w:strike w:val="0"/>
          <w:noProof w:val="0"/>
          <w:color w:val="000000"/>
          <w:position w:val="0"/>
          <w:sz w:val="20"/>
          <w:u w:val="none"/>
          <w:vertAlign w:val="baseline"/>
        </w:rPr>
        <w:t xml:space="preserve"> (June 2, 2014) (SR-NYSEAmex-2010-35) (approval order) ("Unit-of-Count Policy filing").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69285 (April 3, 2013), </w:t>
      </w:r>
      <w:r>
        <w:rPr>
          <w:rFonts w:ascii="arial" w:eastAsia="arial" w:hAnsi="arial" w:cs="arial"/>
          <w:b w:val="0"/>
          <w:i/>
          <w:strike w:val="0"/>
          <w:noProof w:val="0"/>
          <w:color w:val="000000"/>
          <w:position w:val="0"/>
          <w:sz w:val="20"/>
          <w:u w:val="none"/>
          <w:vertAlign w:val="baseline"/>
        </w:rPr>
        <w:t>78 FR 21172</w:t>
      </w:r>
      <w:r>
        <w:rPr>
          <w:rFonts w:ascii="arial" w:eastAsia="arial" w:hAnsi="arial" w:cs="arial"/>
          <w:b w:val="0"/>
          <w:i w:val="0"/>
          <w:strike w:val="0"/>
          <w:noProof w:val="0"/>
          <w:color w:val="000000"/>
          <w:position w:val="0"/>
          <w:sz w:val="20"/>
          <w:u w:val="none"/>
          <w:vertAlign w:val="baseline"/>
        </w:rPr>
        <w:t xml:space="preserve"> (April 9, 2013) (SR-NYSEMKT-2013-32) ("2013 Non-Display Filing") and 72020 (September 9, 2014), </w:t>
      </w:r>
      <w:hyperlink r:id="rId16" w:history="1">
        <w:r>
          <w:rPr>
            <w:rFonts w:ascii="arial" w:eastAsia="arial" w:hAnsi="arial" w:cs="arial"/>
            <w:b w:val="0"/>
            <w:i/>
            <w:strike w:val="0"/>
            <w:noProof w:val="0"/>
            <w:color w:val="0077CC"/>
            <w:position w:val="0"/>
            <w:sz w:val="20"/>
            <w:u w:val="single"/>
            <w:vertAlign w:val="baseline"/>
          </w:rPr>
          <w:t>79 FR 55040</w:t>
        </w:r>
      </w:hyperlink>
      <w:r>
        <w:rPr>
          <w:rFonts w:ascii="arial" w:eastAsia="arial" w:hAnsi="arial" w:cs="arial"/>
          <w:b w:val="0"/>
          <w:i w:val="0"/>
          <w:strike w:val="0"/>
          <w:noProof w:val="0"/>
          <w:color w:val="000000"/>
          <w:position w:val="0"/>
          <w:sz w:val="20"/>
          <w:u w:val="none"/>
          <w:vertAlign w:val="baseline"/>
        </w:rPr>
        <w:t xml:space="preserve"> (Sept. 15, 2014) (SR-NYSEMKT-2014-72). Existing customers approved for the Unit-of-Count Policy for display usage have continued to follow the Policy in anticipation of new display fees being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 of the Unit-of-Count Policy for these subscribers is that a single user fee applies to individual users that receive multiple display device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multiple devices displaying NYSE MKT BBO or NYSE MKT Trades, referred to as "netting." The Exchange proposes to retire the Unit-of-Count Policy effective January 1, 2015. As a result, as of January 1, 2015, subscribers that are currently eligible for "netting" under the Unit-of-Count Policy would pay the user fee for each display device that has access to NYSE MKT BBO or NYSE MKT Trades, even if a single user is receiving NYSE MKT BBO or NYSE MKT Trades over multiple devices, as well as all other applicable fees set forth on the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Changes to Managed Non-Display Services and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Use of NYSE MKT market data means accessing, processing, or consuming NYSE MKT market data delivered via direct and/or Redistributor n7 data feeds for a purpose other than in support of a data recipient's display or further internal or external redistribution. A Redistributor approved for Managed Non-Display Services manages and controls the access to NYSE MKT BBO or NYSE MKT Trades and does not allow for further internal distribution or external redistribution of NYSE MKT BBO or NYSE MKT Trades by the data recipients. Managed Non-Display Services Fees apply when a data recipient's non-display applications are hosted by a Redistributor that has been approved for Managed Non-Display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"Redistributor" means a vendor or any other person that provides an NYSE MKT data product to a data recipient or to any system that a data recipient uses, irrespective of the means of transmission 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Redistributor approved for Managed Non-Display Services is required to report to the Exchange on a monthly basis the data recipients that are receiving NYSE MKT BBO or NYSE MKT Trades through the Redistributor's Managed Non-Display Service. A data recipient receiving NYSE MKT BBO or NYSE MKT Trades through a Redistributor's Managed Non-Display Service does not have any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to be approved for Managed Non-Display Services, a Redistributor of the Managed Non-Display Services must be approved under the Unit-of-Count policy. n8 In connection with the retirement of the Unit-of-Count Policy, n9 eligibility for Managed Non-Display Services of NYSE MKT BBO or NYSE MKT Trades would no longer be based on eligibility under the Unit-of-Count Policy. The Exchange proposes instead to establish eligibility requirements specifically for the redistribution of market data for Managed Non-Display Services. The Exchange also proposes to add an access fee that would apply to a data recipient that receives NYSE MKT BBO or NYSE MKT Trades from an approved Redistributor of Managed Non-Display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Unit-of-Count Policy filing,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Exchange has separately proposed to retire the Unit-of-Count Policy and modify the eligibility requirements for Managed Non-Display Services for all of its proprietary market data products, including NYSE MKT BBO and NYSE MKT Trades, and thereby harmonize the eligibility requirements for all NYSE MKT data products that have Managed Non-Display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SR-NYSEMKT-2014-115 (filing for NYSE MKT OpenBook) and SR-NYSEMKT-2014-114 (filing for NYSE MKT Order Imbalances) (collectively, "NYSE MKT 2014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eligibility requirements for the provision of Managed Non-Display Services would be similar to the eligibility requirements for the Unit-of-Count Policy in that they would require the Redistributor to manage and control the access to NYSE MKT BBO or NYSE MKT Trades for data recipients' non-display applications and not allow for further internal distribution or external redistribution of the information by data recipients. In addition, to be eligible to provide Managed Non-Display Services, the Redistributor would be required to (a) host the data recipients' non-display applications in equipment located in the Redistributor's data center and/or hosted space/cage and (b) offer NYSE MKT BBO or NYSE MKT Trades in the Redistributor's own messaging formats (rather than using raw message formats) by reformatting and/or altering NYSE MKT BBO or NYSE MKT Trades prior to retransmission without affecting the integrity of NYSE MKT BBO or NYSE MKT Trades and without rendering NYSE MKT BBO or NYSE MKT Trades inaccurate, unfair, uninformative, fictitious, misleading or discriminatory. The proposed eligibility requirements are similar to data distribution models currently in use and align the Exchange with other markets.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70748 (Oct. 23, 2013), 70748 (Oct. 23, 2013), </w:t>
      </w:r>
      <w:hyperlink r:id="rId17" w:history="1">
        <w:r>
          <w:rPr>
            <w:rFonts w:ascii="arial" w:eastAsia="arial" w:hAnsi="arial" w:cs="arial"/>
            <w:b w:val="0"/>
            <w:i/>
            <w:strike w:val="0"/>
            <w:noProof w:val="0"/>
            <w:color w:val="0077CC"/>
            <w:position w:val="0"/>
            <w:sz w:val="20"/>
            <w:u w:val="single"/>
            <w:vertAlign w:val="baseline"/>
          </w:rPr>
          <w:t>78 FR 64569</w:t>
        </w:r>
      </w:hyperlink>
      <w:r>
        <w:rPr>
          <w:rFonts w:ascii="arial" w:eastAsia="arial" w:hAnsi="arial" w:cs="arial"/>
          <w:b w:val="0"/>
          <w:i w:val="0"/>
          <w:strike w:val="0"/>
          <w:noProof w:val="0"/>
          <w:color w:val="000000"/>
          <w:position w:val="0"/>
          <w:sz w:val="20"/>
          <w:u w:val="none"/>
          <w:vertAlign w:val="baseline"/>
        </w:rPr>
        <w:t xml:space="preserve"> (Oct. 29, 2013) (SR-Phlx-2013-105) (notice of filing and immediate effectiveness of proposed rule change to establish non-display Managed Data Solution for NASDAQ OMX PHLX ("Phlx")); 70269 (Aug. 27, 2013), </w:t>
      </w:r>
      <w:r>
        <w:rPr>
          <w:rFonts w:ascii="arial" w:eastAsia="arial" w:hAnsi="arial" w:cs="arial"/>
          <w:b w:val="0"/>
          <w:i/>
          <w:strike w:val="0"/>
          <w:noProof w:val="0"/>
          <w:color w:val="000000"/>
          <w:position w:val="0"/>
          <w:sz w:val="20"/>
          <w:u w:val="none"/>
          <w:vertAlign w:val="baseline"/>
        </w:rPr>
        <w:t>78 FR 54336</w:t>
      </w:r>
      <w:r>
        <w:rPr>
          <w:rFonts w:ascii="arial" w:eastAsia="arial" w:hAnsi="arial" w:cs="arial"/>
          <w:b w:val="0"/>
          <w:i w:val="0"/>
          <w:strike w:val="0"/>
          <w:noProof w:val="0"/>
          <w:color w:val="000000"/>
          <w:position w:val="0"/>
          <w:sz w:val="20"/>
          <w:u w:val="none"/>
          <w:vertAlign w:val="baseline"/>
        </w:rPr>
        <w:t xml:space="preserve"> (Sept. 3, 2013) (SR-NASDAQ-2013-106) (notice of filing and immediate effectiveness of proposed rule change to establish non-display Managed Data Solution for NASDAQ Stock Market ("Nasdaq")); and 69182 (Mar. 19, 2013), </w:t>
      </w:r>
      <w:hyperlink r:id="rId18" w:history="1">
        <w:r>
          <w:rPr>
            <w:rFonts w:ascii="arial" w:eastAsia="arial" w:hAnsi="arial" w:cs="arial"/>
            <w:b w:val="0"/>
            <w:i/>
            <w:strike w:val="0"/>
            <w:noProof w:val="0"/>
            <w:color w:val="0077CC"/>
            <w:position w:val="0"/>
            <w:sz w:val="20"/>
            <w:u w:val="single"/>
            <w:vertAlign w:val="baseline"/>
          </w:rPr>
          <w:t>78 FR 18378</w:t>
        </w:r>
      </w:hyperlink>
      <w:r>
        <w:rPr>
          <w:rFonts w:ascii="arial" w:eastAsia="arial" w:hAnsi="arial" w:cs="arial"/>
          <w:b w:val="0"/>
          <w:i w:val="0"/>
          <w:strike w:val="0"/>
          <w:noProof w:val="0"/>
          <w:color w:val="000000"/>
          <w:position w:val="0"/>
          <w:sz w:val="20"/>
          <w:u w:val="none"/>
          <w:vertAlign w:val="baseline"/>
        </w:rPr>
        <w:t xml:space="preserve"> (Mar. 26, 2013) (SR-Phlx-2013-28) (notice of filing and immediate effectiveness of proposed rule change to establish non-display Managed Data Solution for Phlx equities market PSX). </w:t>
      </w:r>
      <w:r>
        <w:rPr>
          <w:rFonts w:ascii="arial" w:eastAsia="arial" w:hAnsi="arial" w:cs="arial"/>
          <w:b/>
          <w:i w:val="0"/>
          <w:strike w:val="0"/>
          <w:noProof w:val="0"/>
          <w:color w:val="000000"/>
          <w:position w:val="0"/>
          <w:sz w:val="20"/>
          <w:u w:val="none"/>
          <w:vertAlign w:val="baseline"/>
        </w:rPr>
        <w:t> [*1446]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reporting requirements associated with the Managed Non-Display Service would not change. A Redistributor approved for Managed Non-Display Service would be required to report to the Exchange on a monthly basis the data recipients that are receiving NYSE MKT BBO or NYSE MKT Trades through the Redistributor's Managed Non-Display Service. A data recipient receiving NYSE MKT BBO or NYSE MKT Trades through a Redistributor's Managed Non-Display Service would continue not to have any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proposes to adopt an Access Fee of $ 375/month applicable only to data recipients that receive NYSE MKT BBO and/or NYSE MKT Trades from an approved Redistributor of Managed Non-Display Services, operative January 1, 2015. Currently, all data recipients, including recipients of Managed Non-Display Services, are required to pay an Access Fee of $ 750/month to receive NYSE MKT BBO and/or NYSE MKT Trades. The Exchange charges a single Access Fee for clients receiving both NYSE MKT BBO and NYSE MKT Trades. Because the purpose of an access fee is to charge data recipients for access to the Exchange's proprietary market data, the Exchange believes it is appropriate to charge an access fee to all data recipients, including recipients of Managed Non-Display Services. n11 In recognition that data recipients of Managed Non-Display Services receive NYSE MKT BBO and NYSE MKT Trades in a controlled format, the Exchange proposes to establish an Access Fee that would be applicable only to data recipients of Managed Non-Display Services and that would be half the size of the current Access Fee. As with the existing Access Fee, the Exchange would charge a single Access Fee for Managed Non-Display Services for clients of both NYSE MKT BBO and NYSE MKT Trades. In connection with this change, the Exchange also proposes to amend the Fee Schedule to specify that the current Access Fee of $ 750/month is charged to data recipients other than those receiving data through Managed Non-Display Services. The proposed Managed Non-Display Access Fee would be in addition to the current Managed Non-Display Services Fee of $ 150/month [sic] for NYSE MKT BBO and $ 600/month [sic] for NYSE MKT Trades by each data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In order to harmonize its approach to fees for its market data products, the Exchange is proposing to establish access fees for Managed Non-Display Services for NYSE MKT OpenBook and NYSE MKT Order Imbalances that are also half of the existing access fee for each respective data feed.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MKT 2014 Filings,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n12 in general, and Sections 6(b)(4) and 6(b)(5) of the Act, n13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9"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9"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retire the Unit-of-Count Policy. First, as evidenced by the low number of eligible subscribers, the Unit-of-Count Policy is not currently considered useful to market data recipients as a method for counting users. In addition, as the Exchange noted in the 2013 Non-Display Filing, n14 the Exchange determined at that time that its fee structure, which was based primarily on counting devices, both display and non-display, and included the Unit-of-Count Policy, was no longer appropriate in light of market and technology developments. In addition to implementing the non-display pricing to address the difficulties of counting non-display devices, and to reflect the value of non-display data to customers, the Exchange noted that it anticipated implementing a new display use fee structure later. Retiring the Unit-of-Count Policy, which now applies only to display use, would allow the Exchange to apply a consistent method for counting users among all customers using NYSE MKT BBO or NYSE MKT Trades, whether on a display or non-display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Non-Display Filing,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revising the eligibility requirements for Managed Non-Display Services so that the requirements are more closely aligned with the nature of the services being provided is reasonable. The proposed additional requirements for hosting in the Redistributor's data center and for reformatting and/or altering the market data prior to retransmission are also consistent with similar requirements of other markets for the provision of managed data.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Access Fee for Managed Non-Display Services is reasonable, because the data is of value to recipients, and it is reasonable to charge them a lower access fee because they are receiving the data through a Redistributor in a controlled form rather than from the Exchange in raw form. The Exchange believes that the proposed fees directly and appropriately reflect the significant value of using non-display data in a wide range of computer-automated functions relating to both trading and non-trading activities and that the number and range of these functions continue to grow through innovation and technology developments. NASDAQ and Phlx also both offer managed non-display data solutions and charge access fees for such services. n16 The fees are also equitable and not unfairly discriminatory because they would apply to all data recipients that choose to subscribe to Managed Non-Display Services for NYSE MKT BBO or NYSE MKT Trades.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 NASDAQ offers a Managed Data Solution that assesses a monthly Managed Data Solution Administration fee of $ 1,500 and monthly Subscriber fees of $ 60 for non-professionals to $ 300 for professionals. See NASDAQ Rule 7026(b). Phlx charges a monthly Managed Data Solution Administration fee of $ 2,000 and a monthly Subscriber fee of $ 500. The monthly License fee is in addition to the monthly Distributor fee of $ 3,500 (for external usage), and the $ 500 monthly Subscriber fee is assessed for each Subscriber of a Managed Data Solution.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70748 (Oct. 23, 2013), </w:t>
      </w:r>
      <w:hyperlink r:id="rId17" w:history="1">
        <w:r>
          <w:rPr>
            <w:rFonts w:ascii="arial" w:eastAsia="arial" w:hAnsi="arial" w:cs="arial"/>
            <w:b w:val="0"/>
            <w:i/>
            <w:strike w:val="0"/>
            <w:noProof w:val="0"/>
            <w:color w:val="0077CC"/>
            <w:position w:val="0"/>
            <w:sz w:val="20"/>
            <w:u w:val="single"/>
            <w:vertAlign w:val="baseline"/>
          </w:rPr>
          <w:t>78 FR 64569</w:t>
        </w:r>
      </w:hyperlink>
      <w:r>
        <w:rPr>
          <w:rFonts w:ascii="arial" w:eastAsia="arial" w:hAnsi="arial" w:cs="arial"/>
          <w:b w:val="0"/>
          <w:i w:val="0"/>
          <w:strike w:val="0"/>
          <w:noProof w:val="0"/>
          <w:color w:val="000000"/>
          <w:position w:val="0"/>
          <w:sz w:val="20"/>
          <w:u w:val="none"/>
          <w:vertAlign w:val="baseline"/>
        </w:rPr>
        <w:t xml:space="preserve"> (Oct. 29, 2013) (SR-Phlx-2013-105).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the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MKT BBO and NYSE MKT Trades are entirely optional. The Exchange is not required to make NYSE MKT BBO and NYSE MKT Trades available or to offer any specific pricing alternatives to any customers, nor is any firm required to purchase NYSE MKT BBO or NYSE MKT Trades. Firms that do purchase NYSE MKT BBO or NYSE MKT Trades do so for the primary goals of using the products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MKT BBO or NYSE MKT Trades or any other similar products are attractively priced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Firms that do not wish to purchase NYSE MKT BBO or NYSE MKT Trades at the new prices have a variety of alternative market data products from which to choose, n17 or if NYSE MKT BBO or NYSE MKT Trades do not provide sufficient value to firms as offered based on the uses those firms have or planned to make of the products, such firms may simply choose </w:t>
      </w:r>
      <w:r>
        <w:rPr>
          <w:rFonts w:ascii="arial" w:eastAsia="arial" w:hAnsi="arial" w:cs="arial"/>
          <w:b/>
          <w:i w:val="0"/>
          <w:strike w:val="0"/>
          <w:noProof w:val="0"/>
          <w:color w:val="000000"/>
          <w:position w:val="0"/>
          <w:sz w:val="20"/>
          <w:u w:val="none"/>
          <w:vertAlign w:val="baseline"/>
        </w:rPr>
        <w:t> [*1447] </w:t>
      </w:r>
      <w:r>
        <w:rPr>
          <w:rFonts w:ascii="arial" w:eastAsia="arial" w:hAnsi="arial" w:cs="arial"/>
          <w:b w:val="0"/>
          <w:i w:val="0"/>
          <w:strike w:val="0"/>
          <w:noProof w:val="0"/>
          <w:color w:val="000000"/>
          <w:position w:val="0"/>
          <w:sz w:val="20"/>
          <w:u w:val="none"/>
          <w:vertAlign w:val="baseline"/>
        </w:rPr>
        <w:t xml:space="preserve"> to conduct their business operations in ways that do not use NYSE MKT BBO or NYSE MKT Trades. The Exchange notes that broker-dealers are not required to purchase proprietary market data to comply with their best execution obligations. n18 Similarly, there is no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or any other rule that proprietary data be utilized for order routing decisions, and some broker-dealers and alternative trading systems ("ATSs") have chosen not to do so.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7047 (Nasdaq Basic) and BATS Rule 11.22 (BATS TOP and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the Application of Securities Industry And Financial Markets Association For Review of Actions Taken by Self-Regulatory Organizations, Release Nos. 34-72182; AP-3-15350; AP-3-15351 (May 16,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For example, Goldman Sachs Execution and Clearing, L.P. has disclosed that it does not use proprietary market data in connection with Sigma X, its ATS.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response to Question E3, available at </w:t>
      </w:r>
      <w:hyperlink r:id="rId20" w:history="1">
        <w:r>
          <w:rPr>
            <w:rFonts w:ascii="arial" w:eastAsia="arial" w:hAnsi="arial" w:cs="arial"/>
            <w:b w:val="0"/>
            <w:i/>
            <w:strike w:val="0"/>
            <w:noProof w:val="0"/>
            <w:color w:val="0077CC"/>
            <w:position w:val="0"/>
            <w:sz w:val="20"/>
            <w:u w:val="single"/>
            <w:vertAlign w:val="baseline"/>
          </w:rPr>
          <w:t>http://www.goldmansachs.com/media-relations/in-the-news/current/pdf-media/gsec-order-handling-practices-ats-specific.pdf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way of comparison, IEX has disclosed that it uses proprietary market data feeds from all registered stock exchanges and the LavaFlow ECN.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http://www.iextrading.com/about/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22"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22"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2"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non-core market data would be so complicated that it could not be done practically or offer any significant benefits.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3"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n23 More recently, SEC Chair </w:t>
      </w:r>
      <w:r>
        <w:rPr>
          <w:rFonts w:ascii="arial" w:eastAsia="arial" w:hAnsi="arial" w:cs="arial"/>
          <w:b/>
          <w:i w:val="0"/>
          <w:strike w:val="0"/>
          <w:noProof w:val="0"/>
          <w:color w:val="000000"/>
          <w:position w:val="0"/>
          <w:sz w:val="20"/>
          <w:u w:val="none"/>
          <w:vertAlign w:val="baseline"/>
        </w:rPr>
        <w:t> [*1448] </w:t>
      </w:r>
      <w:r>
        <w:rPr>
          <w:rFonts w:ascii="arial" w:eastAsia="arial" w:hAnsi="arial" w:cs="arial"/>
          <w:b w:val="0"/>
          <w:i w:val="0"/>
          <w:strike w:val="0"/>
          <w:noProof w:val="0"/>
          <w:color w:val="000000"/>
          <w:position w:val="0"/>
          <w:sz w:val="20"/>
          <w:u w:val="none"/>
          <w:vertAlign w:val="baseline"/>
        </w:rPr>
        <w:t xml:space="preserve">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Concept Release on Equity Market Structure, Securities Exchange Act Release No. 61358 (Jan. 14, 2010), </w:t>
      </w:r>
      <w:hyperlink r:id="rId25"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5"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6"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using them in support of order routing and trading decisions in light of the diminished content;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correspondingly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MKT BBO or NYSE MKT Trades unless their customers request it, and customers will not elect to pay the proposed fees unless NYSE MKT BBO or NYSE MKT Trades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November 2014, more than 80% of the transaction volume on each of NYSE MKT and the Exchange's affiliates New York Stock Exchange LLC ("NYSE") and NYSE Arca, Inc. ("NYSE Arca") was executed by market participants that purchased one or more proprietary market data products (the 20 firms were not the same for each market). A super-</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n25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7"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8"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9"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i w:val="0"/>
          <w:strike w:val="0"/>
          <w:noProof w:val="0"/>
          <w:color w:val="000000"/>
          <w:position w:val="0"/>
          <w:sz w:val="20"/>
          <w:u w:val="none"/>
          <w:vertAlign w:val="baseline"/>
        </w:rPr>
        <w:t> [*1449]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12 equities self-regulatory organization ("SRO") markets, as well as various forms of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FINRA's Alternative Display Facility also receives over-the-counter trade reports that it sends to CTA.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and Direct Edge, which previously operated as ATSs and obtained exchange status in 2008 and 2010, respectively, have provided certain market data at no charge on their Web sites in order to attract more order flow, and use revenue rebates from resulting additional executions to maintain low execution charges for their users. n28 Similarly, LavaFlow ECN provides market data to its subscribers at no charge. n29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"LavaFlow--ADF Migration," available at </w:t>
      </w:r>
      <w:hyperlink r:id="rId30" w:history="1">
        <w:r>
          <w:rPr>
            <w:rFonts w:ascii="arial" w:eastAsia="arial" w:hAnsi="arial" w:cs="arial"/>
            <w:b w:val="0"/>
            <w:i/>
            <w:strike w:val="0"/>
            <w:noProof w:val="0"/>
            <w:color w:val="0077CC"/>
            <w:position w:val="0"/>
            <w:sz w:val="20"/>
            <w:u w:val="single"/>
            <w:vertAlign w:val="baseline"/>
          </w:rPr>
          <w:t>https://www.lavatrading.com/news/pdf/LavaFlow_ADF_Migration.pdf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or have announced plans to do so, including but not limited to the Exchange, NYSE, NYSE Arca,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With respect to NYSE MKT BBO and NYSE MKT Trades,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close substitute products. n30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 As noted above, LavaFlow ECN provides market data to its subscribers at no charge.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setting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n32 of the Act and subparagraph (f)(2) of Rule 19b-4 n33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n34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Interested persons are invited to submit written data, views, and arguments concerning the foregoing, including whether the proposed rule change is consistent with the Act. Comments may be submitted by any of the following methods: </w:t>
      </w:r>
      <w:r>
        <w:rPr>
          <w:rFonts w:ascii="arial" w:eastAsia="arial" w:hAnsi="arial" w:cs="arial"/>
          <w:b/>
          <w:i w:val="0"/>
          <w:strike w:val="0"/>
          <w:noProof w:val="0"/>
          <w:color w:val="000000"/>
          <w:position w:val="0"/>
          <w:sz w:val="20"/>
          <w:u w:val="none"/>
          <w:vertAlign w:val="baseline"/>
        </w:rPr>
        <w:t> [*1450]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2"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SR-NYSEMKT-2014-113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SR-NYSEMKT-2014-113. This file number should be included on the subject line if email is used. To help the Commission process and review your comments more efficiently, please use only one method. The Commission will post all comments on the Commission's Internet Web site (</w:t>
      </w:r>
      <w:hyperlink r:id="rId3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Room, 100 F Street NE., Washington, DC 20549, on official business days between the hours of 10:00 a.m. and 3:00 p.m. Copies of the filing will also be available for inspection and copying at the NYSE's principal office and on its Internet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comments received will be posted without change; the Commission does not edit personal identifying information from submissions. You should submit only information that you wish to make available publicly. All submissions should refer to File Number SR-NYSEMKT-2014-113 and should be submitted on or before January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33"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Brent J. Fields,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2015-00132 Filed 1-8-15;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1444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www.nyse.com" TargetMode="External" /><Relationship Id="rId12" Type="http://schemas.openxmlformats.org/officeDocument/2006/relationships/hyperlink" Target="https://advance.lexis.com/api/document?collection=administrative-codes&amp;id=urn:contentItem:4VV2-RND0-006W-82HV-00000-00&amp;context=" TargetMode="External" /><Relationship Id="rId13" Type="http://schemas.openxmlformats.org/officeDocument/2006/relationships/hyperlink" Target="https://advance.lexis.com/api/document?collection=administrative-codes&amp;id=urn:contentItem:502G-30S0-006W-83D6-00000-00&amp;context=" TargetMode="External" /><Relationship Id="rId14" Type="http://schemas.openxmlformats.org/officeDocument/2006/relationships/hyperlink" Target="https://advance.lexis.com/api/document?collection=administrative-codes&amp;id=urn:contentItem:4YX6-26G0-006W-80S2-00000-00&amp;context=" TargetMode="External" /><Relationship Id="rId15" Type="http://schemas.openxmlformats.org/officeDocument/2006/relationships/hyperlink" Target="https://advance.lexis.com/api/document?collection=administrative-codes&amp;id=urn:contentItem:5074-YWG0-006W-80RD-00000-00&amp;context=" TargetMode="External" /><Relationship Id="rId16" Type="http://schemas.openxmlformats.org/officeDocument/2006/relationships/hyperlink" Target="https://advance.lexis.com/api/document?collection=administrative-codes&amp;id=urn:contentItem:5D4W-7300-006W-83PP-00000-00&amp;context=" TargetMode="External" /><Relationship Id="rId17" Type="http://schemas.openxmlformats.org/officeDocument/2006/relationships/hyperlink" Target="https://advance.lexis.com/api/document?collection=administrative-codes&amp;id=urn:contentItem:59PF-BJS0-006W-8009-00000-00&amp;context=" TargetMode="External" /><Relationship Id="rId18" Type="http://schemas.openxmlformats.org/officeDocument/2006/relationships/hyperlink" Target="https://advance.lexis.com/api/document?collection=administrative-codes&amp;id=urn:contentItem:5825-3C80-006W-82F2-00000-00&amp;context=" TargetMode="External" /><Relationship Id="rId19" Type="http://schemas.openxmlformats.org/officeDocument/2006/relationships/hyperlink" Target="https://advance.lexis.com/api/document?collection=statutes-legislation&amp;id=urn:contentItem:4YF7-GPC1-NRF4-4309-00000-00&amp;context=" TargetMode="External" /><Relationship Id="rId2" Type="http://schemas.openxmlformats.org/officeDocument/2006/relationships/webSettings" Target="webSettings.xml" /><Relationship Id="rId20" Type="http://schemas.openxmlformats.org/officeDocument/2006/relationships/hyperlink" Target="http://www.goldmansachs.com/media-relations/in-the-news/current/pdf-media/gsec-order-handling-practices-ats-specific.pdf" TargetMode="External" /><Relationship Id="rId21" Type="http://schemas.openxmlformats.org/officeDocument/2006/relationships/hyperlink" Target="http://www.iextrading.com/about/" TargetMode="External" /><Relationship Id="rId22" Type="http://schemas.openxmlformats.org/officeDocument/2006/relationships/hyperlink" Target="https://advance.lexis.com/api/document?collection=cases&amp;id=urn:contentItem:803V-DT30-YB0V-T01B-00000-00&amp;context=" TargetMode="External" /><Relationship Id="rId23" Type="http://schemas.openxmlformats.org/officeDocument/2006/relationships/hyperlink" Target="http://www.sec.gov/rules/concept/s72899/buck1.htm" TargetMode="External" /><Relationship Id="rId24" Type="http://schemas.openxmlformats.org/officeDocument/2006/relationships/hyperlink" Target="http://www.justice.gov/iso/opa/atr/speeches/2011/at-speech-110516.html" TargetMode="External" /><Relationship Id="rId25" Type="http://schemas.openxmlformats.org/officeDocument/2006/relationships/hyperlink" Target="https://advance.lexis.com/api/document?collection=administrative-codes&amp;id=urn:contentItem:4Y6T-4FW0-006W-80SB-00000-00&amp;context=" TargetMode="External" /><Relationship Id="rId26" Type="http://schemas.openxmlformats.org/officeDocument/2006/relationships/hyperlink" Target="https://www.arcavision.com/Arcavision/arcalogin.jsp" TargetMode="External" /><Relationship Id="rId27" Type="http://schemas.openxmlformats.org/officeDocument/2006/relationships/hyperlink" Target="https://advance.lexis.com/api/document?collection=administrative-codes&amp;id=urn:contentItem:5C6V-V6N0-006W-80W6-00000-00&amp;context=" TargetMode="External" /><Relationship Id="rId28" Type="http://schemas.openxmlformats.org/officeDocument/2006/relationships/hyperlink" Target="https://advance.lexis.com/api/document?collection=administrative-codes&amp;id=urn:contentItem:512C-NGP0-006W-82VF-00000-00&amp;context=" TargetMode="External" /><Relationship Id="rId29" Type="http://schemas.openxmlformats.org/officeDocument/2006/relationships/hyperlink" Target="https://advance.lexis.com/api/document?collection=administrative-codes&amp;id=urn:contentItem:512C-NGP0-006W-82VH-00000-00&amp;context=" TargetMode="External" /><Relationship Id="rId3" Type="http://schemas.openxmlformats.org/officeDocument/2006/relationships/fontTable" Target="fontTable.xml" /><Relationship Id="rId30" Type="http://schemas.openxmlformats.org/officeDocument/2006/relationships/hyperlink" Target="https://www.lavatrading.com/news/pdf/LavaFlow_ADF_Migration.pdf" TargetMode="External" /><Relationship Id="rId31" Type="http://schemas.openxmlformats.org/officeDocument/2006/relationships/hyperlink" Target="http://www.sec.gov/rules/sro.shtml" TargetMode="External" /><Relationship Id="rId32" Type="http://schemas.openxmlformats.org/officeDocument/2006/relationships/hyperlink" Target="mailto:rule-comments@sec.gov" TargetMode="External" /><Relationship Id="rId33" Type="http://schemas.openxmlformats.org/officeDocument/2006/relationships/hyperlink" Target="https://advance.lexis.com/api/document?collection=administrative-codes&amp;id=urn:contentItem:5SPP-2120-008G-Y2ND-00000-00&amp;context=" TargetMode="Externa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1M-0BM0-006W-84P9-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1444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71343161</vt:lpwstr>
  </property>
  <property fmtid="{D5CDD505-2E9C-101B-9397-08002B2CF9AE}" pid="3" name="LADocCount">
    <vt:lpwstr>1</vt:lpwstr>
  </property>
  <property fmtid="{D5CDD505-2E9C-101B-9397-08002B2CF9AE}" pid="4" name="UserPermID">
    <vt:lpwstr>urn:user:PA185916758</vt:lpwstr>
  </property>
</Properties>
</file>