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1456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006, Friday, January 9,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1456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January 9,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Amending the Fees for NYSE BBO and NYSE Trades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34-73985; File No. SR-NYSE-2014-75]</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5,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December 23, 2014,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BBO and NYSE Trades to: (1) Change the way the user fee is calculated and applied, operative on January 1, 2015; and (2) establish eligibility requirements for redistribution on a managed non-display basis and an access fee for managed non-display data recipients, operative on January 1, 2015. The text of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BBO and NYSE Trades data feeds, as set forth on the NYSE Proprietary Market Data Fee Schedule ("Fee Schedule"), as follows: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change the way the user fees are calculated and applied by eliminating the unit-of-count policy, operative on January 1, 2015; and</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eligibility requirements for redistribution of market data on a Managed Non-Display basis and establish an access fee for Managed Non-Display data recipients, operative on January 1,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the Method of Calculating and Applying User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display use of the NYSE BBO and NYSE Trades data feeds, the Fee Schedule sets forth a Professional User Fee of $ 60 per month or a Non-Professional User Fee of $ 15 per month. These user fees generally apply to each display device that has access to NYSE BBO or NYSE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Vendors and subscribers that are eligible for the Unit-of-Count Policy may avail themselves of an alternative method for counting how many user fees should be charged for display use of the NYSE BBO and NYSE Trades data feeds. The Unit-of-Count Policy was first introduced by the Exchange as a pilot in 2009 for its NYSE OpenBook data feed n4 and is available for NYSE BBO and NYSE Trades. n5 Since April 2013, the Unit-of-Count Policy has applied only to user fees associated with display usage.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59544 (Mar. 9, 2009), </w:t>
      </w:r>
      <w:hyperlink r:id="rId12"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 16, 2009) (SR-NYSE-2008-131) and 62038 (May 5, 2010), </w:t>
      </w:r>
      <w:hyperlink r:id="rId13"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61914 (Apr. 14, 2010), </w:t>
      </w:r>
      <w:hyperlink r:id="rId14" w:history="1">
        <w:r>
          <w:rPr>
            <w:rFonts w:ascii="arial" w:eastAsia="arial" w:hAnsi="arial" w:cs="arial"/>
            <w:b w:val="0"/>
            <w:i/>
            <w:strike w:val="0"/>
            <w:noProof w:val="0"/>
            <w:color w:val="0077CC"/>
            <w:position w:val="0"/>
            <w:sz w:val="20"/>
            <w:u w:val="single"/>
            <w:vertAlign w:val="baseline"/>
          </w:rPr>
          <w:t>74 FR 21077</w:t>
        </w:r>
      </w:hyperlink>
      <w:r>
        <w:rPr>
          <w:rFonts w:ascii="arial" w:eastAsia="arial" w:hAnsi="arial" w:cs="arial"/>
          <w:b w:val="0"/>
          <w:i w:val="0"/>
          <w:strike w:val="0"/>
          <w:noProof w:val="0"/>
          <w:color w:val="000000"/>
          <w:position w:val="0"/>
          <w:sz w:val="20"/>
          <w:u w:val="none"/>
          <w:vertAlign w:val="baseline"/>
        </w:rPr>
        <w:t xml:space="preserve"> (Apr. 22, 2010) (SR-NYSE-2010-30) (notice--NYSE BBO); 62181 (May 26, 2010), </w:t>
      </w:r>
      <w:hyperlink r:id="rId15" w:history="1">
        <w:r>
          <w:rPr>
            <w:rFonts w:ascii="arial" w:eastAsia="arial" w:hAnsi="arial" w:cs="arial"/>
            <w:b w:val="0"/>
            <w:i/>
            <w:strike w:val="0"/>
            <w:noProof w:val="0"/>
            <w:color w:val="0077CC"/>
            <w:position w:val="0"/>
            <w:sz w:val="20"/>
            <w:u w:val="single"/>
            <w:vertAlign w:val="baseline"/>
          </w:rPr>
          <w:t>75 FR 31488</w:t>
        </w:r>
      </w:hyperlink>
      <w:r>
        <w:rPr>
          <w:rFonts w:ascii="arial" w:eastAsia="arial" w:hAnsi="arial" w:cs="arial"/>
          <w:b w:val="0"/>
          <w:i w:val="0"/>
          <w:strike w:val="0"/>
          <w:noProof w:val="0"/>
          <w:color w:val="000000"/>
          <w:position w:val="0"/>
          <w:sz w:val="20"/>
          <w:u w:val="none"/>
          <w:vertAlign w:val="baseline"/>
        </w:rPr>
        <w:t xml:space="preserve"> (June 3, 2010) (SR-NYSE-2010-30) (approval order--NYSE BBO); 59309 (Jan. 28, 2009), </w:t>
      </w:r>
      <w:hyperlink r:id="rId16" w:history="1">
        <w:r>
          <w:rPr>
            <w:rFonts w:ascii="arial" w:eastAsia="arial" w:hAnsi="arial" w:cs="arial"/>
            <w:b w:val="0"/>
            <w:i/>
            <w:strike w:val="0"/>
            <w:noProof w:val="0"/>
            <w:color w:val="0077CC"/>
            <w:position w:val="0"/>
            <w:sz w:val="20"/>
            <w:u w:val="single"/>
            <w:vertAlign w:val="baseline"/>
          </w:rPr>
          <w:t>74 FR 6073</w:t>
        </w:r>
      </w:hyperlink>
      <w:r>
        <w:rPr>
          <w:rFonts w:ascii="arial" w:eastAsia="arial" w:hAnsi="arial" w:cs="arial"/>
          <w:b w:val="0"/>
          <w:i w:val="0"/>
          <w:strike w:val="0"/>
          <w:noProof w:val="0"/>
          <w:color w:val="000000"/>
          <w:position w:val="0"/>
          <w:sz w:val="20"/>
          <w:u w:val="none"/>
          <w:vertAlign w:val="baseline"/>
        </w:rPr>
        <w:t xml:space="preserve"> (Feb. 4, 2009) (SR-NYSE-2009-04) (notice--NYSE Trades); and 590606 (Mar. 19, 2009), </w:t>
      </w:r>
      <w:hyperlink r:id="rId17" w:history="1">
        <w:r>
          <w:rPr>
            <w:rFonts w:ascii="arial" w:eastAsia="arial" w:hAnsi="arial" w:cs="arial"/>
            <w:b w:val="0"/>
            <w:i/>
            <w:strike w:val="0"/>
            <w:noProof w:val="0"/>
            <w:color w:val="0077CC"/>
            <w:position w:val="0"/>
            <w:sz w:val="20"/>
            <w:u w:val="single"/>
            <w:vertAlign w:val="baseline"/>
          </w:rPr>
          <w:t>74 FR 13293</w:t>
        </w:r>
      </w:hyperlink>
      <w:r>
        <w:rPr>
          <w:rFonts w:ascii="arial" w:eastAsia="arial" w:hAnsi="arial" w:cs="arial"/>
          <w:b w:val="0"/>
          <w:i w:val="0"/>
          <w:strike w:val="0"/>
          <w:noProof w:val="0"/>
          <w:color w:val="000000"/>
          <w:position w:val="0"/>
          <w:sz w:val="20"/>
          <w:u w:val="none"/>
          <w:vertAlign w:val="baseline"/>
        </w:rPr>
        <w:t xml:space="preserve"> (Mar. 26, 2009) (approval order--NYSE Trades) (SR-NYSE-2009-04) ("Unit-of-Count Policy filings").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69278 (Apr. 2, 2013), </w:t>
      </w:r>
      <w:hyperlink r:id="rId18" w:history="1">
        <w:r>
          <w:rPr>
            <w:rFonts w:ascii="arial" w:eastAsia="arial" w:hAnsi="arial" w:cs="arial"/>
            <w:b w:val="0"/>
            <w:i/>
            <w:strike w:val="0"/>
            <w:noProof w:val="0"/>
            <w:color w:val="0077CC"/>
            <w:position w:val="0"/>
            <w:sz w:val="20"/>
            <w:u w:val="single"/>
            <w:vertAlign w:val="baseline"/>
          </w:rPr>
          <w:t>78 FR 20973</w:t>
        </w:r>
      </w:hyperlink>
      <w:r>
        <w:rPr>
          <w:rFonts w:ascii="arial" w:eastAsia="arial" w:hAnsi="arial" w:cs="arial"/>
          <w:b w:val="0"/>
          <w:i w:val="0"/>
          <w:strike w:val="0"/>
          <w:noProof w:val="0"/>
          <w:color w:val="000000"/>
          <w:position w:val="0"/>
          <w:sz w:val="20"/>
          <w:u w:val="none"/>
          <w:vertAlign w:val="baseline"/>
        </w:rPr>
        <w:t xml:space="preserve"> (Apr. 8, 2013) (SR-NYSE-2013-25) ("2013 Non-Display Filing") and 72923 (Aug. 26, 2014), </w:t>
      </w:r>
      <w:hyperlink r:id="rId19"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 Existing customers approved for the Unit-of-Count Policy for display usage have continued to follow the Policy in anticipation of new display fees being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effect of the Unit-of-Count Policy for these subscribers is that a single user fee applies to individual users that receive multiple display device services,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multiple devices displaying NYSE BBO or NYSE Trades, referred to as "netting." The Exchange proposes to retire the Unit-of-Count Policy effective January 1, 2015. As a result, as of January 1, 2015, subscribers that are currently eligible for "netting" under the Unit-of-Count Policy would pay the user fee for each display device that has access to NYSE BBO or NYSE Trades, even if a single user is receiving NYSE BBO or NYSE Trades over multiple devices, as well as all other applicable fees set forth on the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Changes to Managed Non-Display Services and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Non-Display Use of NYSE market data means accessing, processing, or consuming NYSE market data delivered via direct and/or Redistributor n7 data feeds for a purpose other than in support of a data recipient's display or further internal or external redistribution. A Redistributor approved for Managed Non-Display Services manages and controls the access to NYSE BBO or NYSE Trades and does not allow for further internal distribution or external redistribution of NYSE BBO or NYSE Trades by the data recipients. Managed Non-Display Services Fees apply when a data recipient's non-display applications are hosted by a Redistributor that has been approved for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data product to a data recipient or to any system that a data recipient uses, irrespective of the means of transmission or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Redistributor approved for Managed Non-Display Services is required to report to the Exchange on a monthly basis the data recipients that are receiving NYSE BBO or NYSE Trades through the Redistributor's Managed Non-Display Service. A data recipient receiving NYSE BBO or NYSE Trades through a Redistributor's Managed Non-Display Service does not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to be approved for Managed Non-Display Services, a Redistributor of the Managed Non-Display Services must be approved under the Unit-of-Count policy. n8 In connection with the retirement of the Unit-of-Count Policy, n9 eligibility for </w:t>
      </w:r>
      <w:r>
        <w:rPr>
          <w:rFonts w:ascii="arial" w:eastAsia="arial" w:hAnsi="arial" w:cs="arial"/>
          <w:b/>
          <w:i w:val="0"/>
          <w:strike w:val="0"/>
          <w:noProof w:val="0"/>
          <w:color w:val="000000"/>
          <w:position w:val="0"/>
          <w:sz w:val="20"/>
          <w:u w:val="none"/>
          <w:vertAlign w:val="baseline"/>
        </w:rPr>
        <w:t> [*1457] </w:t>
      </w:r>
      <w:r>
        <w:rPr>
          <w:rFonts w:ascii="arial" w:eastAsia="arial" w:hAnsi="arial" w:cs="arial"/>
          <w:b w:val="0"/>
          <w:i w:val="0"/>
          <w:strike w:val="0"/>
          <w:noProof w:val="0"/>
          <w:color w:val="000000"/>
          <w:position w:val="0"/>
          <w:sz w:val="20"/>
          <w:u w:val="none"/>
          <w:vertAlign w:val="baseline"/>
        </w:rPr>
        <w:t xml:space="preserve"> Managed Non-Display Services of NYSE BBO or NYSE Trades would no longer be based on eligibility under the Unit-of-Count Policy. The Exchange proposes instead to establish eligibility requirements specifically for the redistribution of market data for Managed Non-Display Services. The Exchange also proposes to add an access fee that would apply to a data recipient that receives NYSE BBO or NYSE Trades from an approved Redistributor of Managed Non-Display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Unit-of-Count Policy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The Exchange has separately proposed to retire the Unit-of-Count Policy and modify the eligibility requirements for Managed Non-Display Services for all of its proprietary market data products, including NYSE OpenBook and NYSE Order Imbalances, and thereby harmonize the eligibility requirements for all NYSE data products that have Managed Non-Display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SR-NYSE-2014-76 (filing for NYSE OpenBook) and SR-NYSE-2014-77 (filing for NYSE Order Imbalances) (collectively, "NYSE 2014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eligibility requirements for the provision of Managed Non-Display Services would be similar to the eligibility requirements for the Unit-of-Count Policy in that they would require the Redistributor to manage and control the access to NYSE BBO or NYSE Trades for data recipients' non-display applications and not allow for further internal distribution or external redistribution of the information by data recipients. In addition, to be eligible to provide Managed Non-Display Services, the Redistributor would be required to (a) host the data recipients' non-display applications in equipment located in the Redistributor's data center and/or hosted space/cage and (b) offer NYSE BBO or NYSE Trades in the Redistributor's own messaging formats (rather than using raw message formats) by reformatting and/or altering NYSE BBO or NYSE Trades prior to retransmission without affecting the integrity of NYSE BBO or NYSE Trades and without rendering NYSE BBO or NYSE Trades inaccurate, unfair, uninformative, fictitious, misleading or discriminatory. The proposed eligibility requirements are similar to data distribution models currently in use and align the Exchange with other markets. n10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70748 (Oct. 23, 2013), 70748 (Oct. 23, 2013), </w:t>
      </w:r>
      <w:hyperlink r:id="rId20"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 (notice of filing and immediate effectiveness of proposed rule change to establish non-display Managed Data Solution for NASDAQ OMX PHLX ("Phlx")); 70269 (Aug. 27, 2013), </w:t>
      </w:r>
      <w:r>
        <w:rPr>
          <w:rFonts w:ascii="arial" w:eastAsia="arial" w:hAnsi="arial" w:cs="arial"/>
          <w:b w:val="0"/>
          <w:i/>
          <w:strike w:val="0"/>
          <w:noProof w:val="0"/>
          <w:color w:val="000000"/>
          <w:position w:val="0"/>
          <w:sz w:val="20"/>
          <w:u w:val="none"/>
          <w:vertAlign w:val="baseline"/>
        </w:rPr>
        <w:t>78 FR 54336</w:t>
      </w:r>
      <w:r>
        <w:rPr>
          <w:rFonts w:ascii="arial" w:eastAsia="arial" w:hAnsi="arial" w:cs="arial"/>
          <w:b w:val="0"/>
          <w:i w:val="0"/>
          <w:strike w:val="0"/>
          <w:noProof w:val="0"/>
          <w:color w:val="000000"/>
          <w:position w:val="0"/>
          <w:sz w:val="20"/>
          <w:u w:val="none"/>
          <w:vertAlign w:val="baseline"/>
        </w:rPr>
        <w:t xml:space="preserve"> (Sept. 3, 2013) (SR-NASDAQ-2013-106) (notice of filing and immediate effectiveness of proposed rule change to establish non-display Managed Data Solution for NASDAQ Stock Market ("NASDAQ")); and 69182 (Mar. 19, 2013), </w:t>
      </w:r>
      <w:hyperlink r:id="rId21" w:history="1">
        <w:r>
          <w:rPr>
            <w:rFonts w:ascii="arial" w:eastAsia="arial" w:hAnsi="arial" w:cs="arial"/>
            <w:b w:val="0"/>
            <w:i/>
            <w:strike w:val="0"/>
            <w:noProof w:val="0"/>
            <w:color w:val="0077CC"/>
            <w:position w:val="0"/>
            <w:sz w:val="20"/>
            <w:u w:val="single"/>
            <w:vertAlign w:val="baseline"/>
          </w:rPr>
          <w:t>78 FR 18378</w:t>
        </w:r>
      </w:hyperlink>
      <w:r>
        <w:rPr>
          <w:rFonts w:ascii="arial" w:eastAsia="arial" w:hAnsi="arial" w:cs="arial"/>
          <w:b w:val="0"/>
          <w:i w:val="0"/>
          <w:strike w:val="0"/>
          <w:noProof w:val="0"/>
          <w:color w:val="000000"/>
          <w:position w:val="0"/>
          <w:sz w:val="20"/>
          <w:u w:val="none"/>
          <w:vertAlign w:val="baseline"/>
        </w:rPr>
        <w:t xml:space="preserve"> (Mar. 26, 2013) (SR-Phlx-2013-28) (notice of filing and immediate effectiveness of proposed rule change to establish non-display Managed Data Solution for Phlx equities market PSX).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reporting requirements associated with the Managed Non-Display Service would not change. A Redistributor approved for Managed Non-Display Service would be required to report to the Exchange on a monthly basis the data recipients that are receiving NYSE BBO or NYSE Trades through the Redistributor's Managed Non-Display Service. A data recipient receiving NYSE BBO or NYSE Trades through a Redistributor's Managed Non-Display Service would continue not to have any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proposes to adopt an Access Fee of $ 750/month applicable only to data recipients that receive NYSE BBO and/or NYSE Trades from an approved Redistributor of Managed Non-Display Services, operative January 1, 2015. Currently, data recipients are required to pay an Access Fee of $ 1,500/month to receive NYSE BBO and/or NYSE Trades, which has not been charged to data recipients of Managed Non-Display Services of NYSE BBO or NYSE Trades. The Exchange charges a single Access Fee for clients receiving both NYSE BBO and NYSE Trades. Because the purpose of an access fee is to charge data recipients for access to the Exchange's proprietary market data, the Exchange believes it is appropriate to charge an access fee to all data recipients, including recipients of Managed Non-Display Services. n11 In recognition that data recipients of Managed Non-Display Services receive NYSE BBO and NYSE Trades in a controlled format, the Exchange proposes to establish an Access Fee that would be applicable only to data recipients of Managed Non-Display Services and that would be half the size of the current Access Fee. As with the existing Access Fee, the Exchange would charge a single Access Fee for Managed Non-Display Services for clients of both NYSE BBO and NYSE Trades. In connection with this change, the Exchange also proposes to amend the Fee Schedule to specify that the current Access Fee of $ 1,500/month is charged to data recipients other than those receiving data through Managed Non-Display Services. The proposed Managed Non-Display Access Fee would be in addition to the current Managed Non-Display Services Fee of $ 2,400/month [sic] for NYSE BBO and $ 1,000/month [sic] for NYSE Trades by each data recipient.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In order to harmonize its approach to fees for its market data products, the Exchange is proposing to establish access fees for Managed Non-Display Services for NYSE OpenBook and NYSE Order Imbalances that are also half of the existing access fee for each respective data feed.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NYSE 2014 Filings,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n12 in general, and Sections 6(b)(4) and 6(b)(5) of the Act, n13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hyperlink r:id="rId2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2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retire the Unit-of-Count Policy. First, as evidenced by the low number of eligible subscribers, the Unit-of-Count Policy is not currently considered useful to market data recipients as a method for counting users. In addition, as the Exchange noted in the 2013 Non-Display Filing, n14 the Exchange determined at that time that its fee structure, which was based primarily on counting devices, both display and non-display, and included the Unit-of-Count Policy, was no longer appropriate in light of market and technology developments. In addition to implementing the non-display pricing to address the difficulties of counting non-display devices, and to reflect the value of non-display data to customers, the Exchange noted that it anticipated implementing a new display use fee structure later. Retiring the Unit-of-Count Policy, which now applies only to display use, would allow the Exchange to apply a consistent method for counting users among all customers using NYSE BBO or NYSE Trades, whether on a display or non-display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2013 Non-Display Filing,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revising the eligibility requirements for Managed Non-Display Services so that the requirements are more closely aligned with the nature of the services being provided is reasonable. The proposed additional requirements for hosting in the Redistributor's data center and for reformatting and/or altering the market data prior to retransmission are also consistent with similar requirements of other markets for the provision of managed data.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the proposed Access Fee for Managed Non-Display Services is reasonable, because the data is of value to recipients, and it is reasonable to charge them a lower access fee because they are receiving the data through a Redistributor in a controlled form rather than from the Exchange in raw form. The Exchange believes that the proposed fees directly and appropriately reflect the significant value of using non-display data in a wide range of computer-automated functions relating to both trading and non-trading activities and that the </w:t>
      </w:r>
      <w:r>
        <w:rPr>
          <w:rFonts w:ascii="arial" w:eastAsia="arial" w:hAnsi="arial" w:cs="arial"/>
          <w:b/>
          <w:i w:val="0"/>
          <w:strike w:val="0"/>
          <w:noProof w:val="0"/>
          <w:color w:val="000000"/>
          <w:position w:val="0"/>
          <w:sz w:val="20"/>
          <w:u w:val="none"/>
          <w:vertAlign w:val="baseline"/>
        </w:rPr>
        <w:t> [*1458] </w:t>
      </w:r>
      <w:r>
        <w:rPr>
          <w:rFonts w:ascii="arial" w:eastAsia="arial" w:hAnsi="arial" w:cs="arial"/>
          <w:b w:val="0"/>
          <w:i w:val="0"/>
          <w:strike w:val="0"/>
          <w:noProof w:val="0"/>
          <w:color w:val="000000"/>
          <w:position w:val="0"/>
          <w:sz w:val="20"/>
          <w:u w:val="none"/>
          <w:vertAlign w:val="baseline"/>
        </w:rPr>
        <w:t xml:space="preserve"> number and range of these functions continue to grow through innovation and technology developments. NASDAQ and Phlx also both offer managed non-display data solutions and charge access fees for such services. n16 The fees are also equitable and not unfairly discriminatory because they would apply to all data recipients that choose to subscribe to Managed Non-Display Services for NYSE BBO or NYSE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9 [sic]. NASDAQ offers a Managed Data Solution that assesses a monthly Managed Data Solution Administration fee of $ 1,500 and monthly Subscriber fees of $ 60 for non-professionals to $ 300 for professionals.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7026(b). Phlx charges a monthly Managed Data Solution Administration fee of $ 2,000 and a monthly Subscriber fee of $ 500. The monthly License fee is in addition to the monthly Distributor fee of $ 3,500 (for external usage), and the $ 500 monthly Subscriber fee is assessed for each Subscriber of a Managed Data Solution.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70748 (Oct. 23, 2013), </w:t>
      </w:r>
      <w:hyperlink r:id="rId20" w:history="1">
        <w:r>
          <w:rPr>
            <w:rFonts w:ascii="arial" w:eastAsia="arial" w:hAnsi="arial" w:cs="arial"/>
            <w:b w:val="0"/>
            <w:i/>
            <w:strike w:val="0"/>
            <w:noProof w:val="0"/>
            <w:color w:val="0077CC"/>
            <w:position w:val="0"/>
            <w:sz w:val="20"/>
            <w:u w:val="single"/>
            <w:vertAlign w:val="baseline"/>
          </w:rPr>
          <w:t>78 FR 64569</w:t>
        </w:r>
      </w:hyperlink>
      <w:r>
        <w:rPr>
          <w:rFonts w:ascii="arial" w:eastAsia="arial" w:hAnsi="arial" w:cs="arial"/>
          <w:b w:val="0"/>
          <w:i w:val="0"/>
          <w:strike w:val="0"/>
          <w:noProof w:val="0"/>
          <w:color w:val="000000"/>
          <w:position w:val="0"/>
          <w:sz w:val="20"/>
          <w:u w:val="none"/>
          <w:vertAlign w:val="baseline"/>
        </w:rPr>
        <w:t xml:space="preserve"> (Oct. 29, 2013) (SR-Phlx-2013-105).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the feeds.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BBO and NYSE Trades are entirely optional. The Exchange is not required to make NYSE BBO and NYSE Trades available or to offer any specific pricing alternatives to any customers, nor is any firm required to purchase NYSE BBO or NYSE Trades. Firms that do purchase NYSE BBO or NYSE Trades do so for the primary goals of using the products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BBO or NYSE Trades or any other similar products are attractively priced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Firms that do not wish to purchase NYSE BBO or NYSE Trades at the new prices have a variety of alternative market data products from which to choose, n17 or if NYSE BBO or NYSE Trades do not provide sufficient value to firms as offered based on the uses those firms have or planned to make of the products, such firms may simply choose to conduct their business operations in ways that do not use NYSE BBO or NYSE Trades. The Exchange notes that broker-dealers are not required to purchase proprietary market data to comply with their best execution obligations. n18 Similarly, there is no requirement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or any other rule that proprietary data be utilized for order routing decisions, and some broker-dealers and alternative trading systems ("ATSs") have chosen not to do so.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 the Matter of the Application of Securities Industry And Financial Markets Association For Review of Actions Taken by Self-Regulatory Organizations, Release Nos. 34-72182; AP-3-15350; AP-3-15351 (May 16,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example, Goldman Sachs Execution and Clearing, L.P. has disclosed that it does not use proprietary market data in connection with Sigma X, its ATS.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response to Question E3, available at </w:t>
      </w:r>
      <w:hyperlink r:id="rId23" w:history="1">
        <w:r>
          <w:rPr>
            <w:rFonts w:ascii="arial" w:eastAsia="arial" w:hAnsi="arial" w:cs="arial"/>
            <w:b w:val="0"/>
            <w:i/>
            <w:strike w:val="0"/>
            <w:noProof w:val="0"/>
            <w:color w:val="0077CC"/>
            <w:position w:val="0"/>
            <w:sz w:val="20"/>
            <w:u w:val="single"/>
            <w:vertAlign w:val="baseline"/>
          </w:rPr>
          <w:t>http://www.goldmansachs.com/media-relations/in-the-news/current/pdf-media/gsec-order-handling-practices-ats-specific.pdf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way of comparison, IEX has disclosed that it uses proprietary market data feeds from all registered stock exchanges and the LavaFlow ECN. </w:t>
      </w:r>
      <w:r>
        <w:rPr>
          <w:rFonts w:ascii="arial" w:eastAsia="arial" w:hAnsi="arial" w:cs="arial"/>
          <w:b w:val="0"/>
          <w:i/>
          <w:strike w:val="0"/>
          <w:noProof w:val="0"/>
          <w:color w:val="000000"/>
          <w:position w:val="0"/>
          <w:sz w:val="20"/>
          <w:u w:val="none"/>
          <w:vertAlign w:val="baseline"/>
        </w:rPr>
        <w:t xml:space="preserve">See </w:t>
      </w:r>
      <w:hyperlink r:id="rId24" w:history="1">
        <w:r>
          <w:rPr>
            <w:rFonts w:ascii="arial" w:eastAsia="arial" w:hAnsi="arial" w:cs="arial"/>
            <w:b w:val="0"/>
            <w:i/>
            <w:strike w:val="0"/>
            <w:noProof w:val="0"/>
            <w:color w:val="0077CC"/>
            <w:position w:val="0"/>
            <w:sz w:val="20"/>
            <w:u w:val="single"/>
            <w:vertAlign w:val="baseline"/>
          </w:rPr>
          <w:t>http://www.iextrading.com/about/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5"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hyperlink r:id="rId25"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non-core market data would be so complicated that it could not be done practically or offer any significant benefits.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See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6"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w:t>
      </w:r>
      <w:r>
        <w:rPr>
          <w:rFonts w:ascii="arial" w:eastAsia="arial" w:hAnsi="arial" w:cs="arial"/>
          <w:b/>
          <w:i w:val="0"/>
          <w:strike w:val="0"/>
          <w:noProof w:val="0"/>
          <w:color w:val="000000"/>
          <w:position w:val="0"/>
          <w:sz w:val="20"/>
          <w:u w:val="none"/>
          <w:vertAlign w:val="baseline"/>
        </w:rPr>
        <w:t> [*1459] </w:t>
      </w:r>
      <w:r>
        <w:rPr>
          <w:rFonts w:ascii="arial" w:eastAsia="arial" w:hAnsi="arial" w:cs="arial"/>
          <w:b w:val="0"/>
          <w:i w:val="0"/>
          <w:strike w:val="0"/>
          <w:noProof w:val="0"/>
          <w:color w:val="000000"/>
          <w:position w:val="0"/>
          <w:sz w:val="20"/>
          <w:u w:val="none"/>
          <w:vertAlign w:val="baseline"/>
        </w:rPr>
        <w:t xml:space="preserve">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Press Release, U.S. Department of Justice, Assistant Attorney General Christine Varney Holds Conference Call Regarding NASDAQ OMX Group Inc. and IntercontinentalExchange Inc. Abandoning Their Bid for NYSE Euronext (May 16, 2011), available at </w:t>
      </w:r>
      <w:hyperlink r:id="rId27"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also Complaint in U.S. v. Deutsche Borse AG and NYSE Euronext, Case No. 11-cv-2280 (D.C. Dist.)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n23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Concept Release on Equity Market Structure, Securities Exchange Act Release No. 61358 (Jan. 14, 2010), </w:t>
      </w:r>
      <w:hyperlink r:id="rId28"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8"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its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using them in support of order routing and trading decisions in light of the diminished content;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correspondingly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case of products that are also redistributed through market data vendors, such as Bloomberg and Thompson Reuters, the vendors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BBO or NYSE Trades unless their customers request it, and customers will not elect to pay the proposed fees unless NYSE BBO or NYSE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November 2014, more than 80% of the transaction volume on each of NYSE and the Exchange's affiliates NYSE Arca and NYSE MKT, LLC was executed by market participants that purchased one or more proprietary market data products (the 20 firms were not the same for each market). A super-</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n25 The Exchange agrees with and adopts those discussions and the arguments therein. The Exchange also notes that the economics literature confirms that there is no way to allocate common costs </w:t>
      </w:r>
      <w:r>
        <w:rPr>
          <w:rFonts w:ascii="arial" w:eastAsia="arial" w:hAnsi="arial" w:cs="arial"/>
          <w:b/>
          <w:i w:val="0"/>
          <w:strike w:val="0"/>
          <w:noProof w:val="0"/>
          <w:color w:val="000000"/>
          <w:position w:val="0"/>
          <w:sz w:val="20"/>
          <w:u w:val="none"/>
          <w:vertAlign w:val="baseline"/>
        </w:rPr>
        <w:t> [*1460] </w:t>
      </w:r>
      <w:r>
        <w:rPr>
          <w:rFonts w:ascii="arial" w:eastAsia="arial" w:hAnsi="arial" w:cs="arial"/>
          <w:b w:val="0"/>
          <w:i w:val="0"/>
          <w:strike w:val="0"/>
          <w:noProof w:val="0"/>
          <w:color w:val="000000"/>
          <w:position w:val="0"/>
          <w:sz w:val="20"/>
          <w:u w:val="none"/>
          <w:vertAlign w:val="baseline"/>
        </w:rPr>
        <w:t xml:space="preserve">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30"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31"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2"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w:t>
      </w:r>
      <w:r>
        <w:rPr>
          <w:rFonts w:ascii="arial" w:eastAsia="arial" w:hAnsi="arial" w:cs="arial"/>
          <w:b w:val="0"/>
          <w:i/>
          <w:strike w:val="0"/>
          <w:noProof w:val="0"/>
          <w:color w:val="000000"/>
          <w:position w:val="0"/>
          <w:sz w:val="20"/>
          <w:u w:val="none"/>
          <w:vertAlign w:val="baseline"/>
        </w:rPr>
        <w:t>Fundamentals of Managerial Economics</w:t>
      </w:r>
      <w:r>
        <w:rPr>
          <w:rFonts w:ascii="arial" w:eastAsia="arial" w:hAnsi="arial" w:cs="arial"/>
          <w:b w:val="0"/>
          <w:i w:val="0"/>
          <w:strike w:val="0"/>
          <w:noProof w:val="0"/>
          <w:color w:val="000000"/>
          <w:position w:val="0"/>
          <w:sz w:val="20"/>
          <w:u w:val="none"/>
          <w:vertAlign w:val="baseline"/>
        </w:rPr>
        <w:t xml:space="preserve">,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 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12 equities self-regulatory organization ("SRO") markets, as well as various forms of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 n27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FINRA's Alternative Display Facility also receives over-the-counter trade reports that it sends to CTA.</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and Direct Edge, which previously operated as ATSs and obtained exchange status in 2008 and 2010, respectively, have provided certain market data at no charge on their Web sites in order to attract more order flow, and use revenue rebates from resulting additional executions to maintain low execution charges for their users. n28 Similarly, LavaFlow ECN provides market data to its subscribers at no charge. n29 In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"LavaFlow--ADF Migration," available at </w:t>
      </w:r>
      <w:hyperlink r:id="rId33" w:history="1">
        <w:r>
          <w:rPr>
            <w:rFonts w:ascii="arial" w:eastAsia="arial" w:hAnsi="arial" w:cs="arial"/>
            <w:b w:val="0"/>
            <w:i/>
            <w:strike w:val="0"/>
            <w:noProof w:val="0"/>
            <w:color w:val="0077CC"/>
            <w:position w:val="0"/>
            <w:sz w:val="20"/>
            <w:u w:val="single"/>
            <w:vertAlign w:val="baseline"/>
          </w:rPr>
          <w:t>https://www.lavatrading.com/news/pdf/LavaFlow_ADF_Migration.pdf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or have announced plans to do so, including but not limited to the Exchange, NYSE, NYSE MKT,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BBO and NYSE Trades,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n30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 As noted above, LavaFlow ECN provides market data to its subscribers at no charge.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28 [sic].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setting the proposed fees,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 </w:t>
      </w:r>
      <w:r>
        <w:rPr>
          <w:rFonts w:ascii="arial" w:eastAsia="arial" w:hAnsi="arial" w:cs="arial"/>
          <w:b/>
          <w:i w:val="0"/>
          <w:strike w:val="0"/>
          <w:noProof w:val="0"/>
          <w:color w:val="000000"/>
          <w:position w:val="0"/>
          <w:sz w:val="20"/>
          <w:u w:val="none"/>
          <w:vertAlign w:val="baseline"/>
        </w:rPr>
        <w:t> [*1461]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n32 of the Act and subparagraph (f)(2) of Rule 19b-4 n33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n34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SR-NYSE-2014-75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SR-NYSE-2014-75. This file number should be included on the subject line if email is used. To help the Commission process and review your comments more efficiently, please use only one method. The Commission will post all comments on the Commission's Internet Web site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Room, 100 F Street NE., Washington, DC 20549, on official business days between the hours of 10:00 a.m. and 3:00 p.m. Copies of the filing will also be available for Web site viewing and printing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SR-NYSE-2014-75 and should be submitted on or before January 30,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Brent J. Fields,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3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2015-00129 Filed 1-8-15;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1456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www.nyse.com" TargetMode="External" /><Relationship Id="rId12" Type="http://schemas.openxmlformats.org/officeDocument/2006/relationships/hyperlink" Target="https://advance.lexis.com/api/document?collection=administrative-codes&amp;id=urn:contentItem:4VV2-RND0-006W-82HV-00000-00&amp;context=" TargetMode="External" /><Relationship Id="rId13" Type="http://schemas.openxmlformats.org/officeDocument/2006/relationships/hyperlink" Target="https://advance.lexis.com/api/document?collection=administrative-codes&amp;id=urn:contentItem:502G-30S0-006W-83D6-00000-00&amp;context=" TargetMode="External" /><Relationship Id="rId14" Type="http://schemas.openxmlformats.org/officeDocument/2006/relationships/hyperlink" Target="https://advance.lexis.com/api/document?collection=administrative-codes&amp;id=urn:contentItem:4W7B-GGX0-006W-83N6-00000-00&amp;context=" TargetMode="External" /><Relationship Id="rId15" Type="http://schemas.openxmlformats.org/officeDocument/2006/relationships/hyperlink" Target="https://advance.lexis.com/api/document?collection=administrative-codes&amp;id=urn:contentItem:5074-YWG0-006W-80R7-00000-00&amp;context=" TargetMode="External" /><Relationship Id="rId16" Type="http://schemas.openxmlformats.org/officeDocument/2006/relationships/hyperlink" Target="https://advance.lexis.com/api/document?collection=administrative-codes&amp;id=urn:contentItem:4VHY-JW10-006W-83P9-00000-00&amp;context=" TargetMode="External" /><Relationship Id="rId17" Type="http://schemas.openxmlformats.org/officeDocument/2006/relationships/hyperlink" Target="https://advance.lexis.com/api/document?collection=administrative-codes&amp;id=urn:contentItem:4VXK-W250-006W-8443-00000-00&amp;context=" TargetMode="External" /><Relationship Id="rId18" Type="http://schemas.openxmlformats.org/officeDocument/2006/relationships/hyperlink" Target="https://advance.lexis.com/api/document?collection=administrative-codes&amp;id=urn:contentItem:584X-MSJ0-006W-83Y8-00000-00&amp;context=" TargetMode="External" /><Relationship Id="rId19" Type="http://schemas.openxmlformats.org/officeDocument/2006/relationships/hyperlink" Target="https://advance.lexis.com/api/document?collection=administrative-codes&amp;id=urn:contentItem:5D23-RDG0-006W-828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PF-BJS0-006W-8009-00000-00&amp;context=" TargetMode="External" /><Relationship Id="rId21" Type="http://schemas.openxmlformats.org/officeDocument/2006/relationships/hyperlink" Target="https://advance.lexis.com/api/document?collection=administrative-codes&amp;id=urn:contentItem:5825-3C80-006W-82F2-00000-00&amp;context=" TargetMode="External" /><Relationship Id="rId22" Type="http://schemas.openxmlformats.org/officeDocument/2006/relationships/hyperlink" Target="https://advance.lexis.com/api/document?collection=statutes-legislation&amp;id=urn:contentItem:4YF7-GPC1-NRF4-4309-00000-00&amp;context=" TargetMode="External" /><Relationship Id="rId23" Type="http://schemas.openxmlformats.org/officeDocument/2006/relationships/hyperlink" Target="http://www.goldmansachs.com/media-relations/in-the-news/current/pdf-media/gsec-order-handling-practices-ats-specific.pdf" TargetMode="External" /><Relationship Id="rId24" Type="http://schemas.openxmlformats.org/officeDocument/2006/relationships/hyperlink" Target="http://www.iextrading.com/about/" TargetMode="External" /><Relationship Id="rId25" Type="http://schemas.openxmlformats.org/officeDocument/2006/relationships/hyperlink" Target="https://advance.lexis.com/api/document?collection=cases&amp;id=urn:contentItem:803V-DT30-YB0V-T01B-00000-00&amp;context=" TargetMode="External" /><Relationship Id="rId26" Type="http://schemas.openxmlformats.org/officeDocument/2006/relationships/hyperlink" Target="http://www.sec.gov/rules/concept/s72899/buck1.htm" TargetMode="External" /><Relationship Id="rId27" Type="http://schemas.openxmlformats.org/officeDocument/2006/relationships/hyperlink" Target="http://www.justice.gov/iso/opa/atr/speeches/2011/at-speech-110516.html" TargetMode="External" /><Relationship Id="rId28" Type="http://schemas.openxmlformats.org/officeDocument/2006/relationships/hyperlink" Target="https://advance.lexis.com/api/document?collection=administrative-codes&amp;id=urn:contentItem:4Y6T-4FW0-006W-80SB-00000-00&amp;context=" TargetMode="External" /><Relationship Id="rId29" Type="http://schemas.openxmlformats.org/officeDocument/2006/relationships/hyperlink" Target="https://www.arcavision.com/Arcavision/arcalogin.jsp"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C6V-V6N0-006W-80W6-00000-00&amp;context=" TargetMode="External" /><Relationship Id="rId31" Type="http://schemas.openxmlformats.org/officeDocument/2006/relationships/hyperlink" Target="https://advance.lexis.com/api/document?collection=administrative-codes&amp;id=urn:contentItem:512C-NGP0-006W-82VF-00000-00&amp;context=" TargetMode="External" /><Relationship Id="rId32" Type="http://schemas.openxmlformats.org/officeDocument/2006/relationships/hyperlink" Target="https://advance.lexis.com/api/document?collection=administrative-codes&amp;id=urn:contentItem:512C-NGP0-006W-82VH-00000-00&amp;context=" TargetMode="External" /><Relationship Id="rId33" Type="http://schemas.openxmlformats.org/officeDocument/2006/relationships/hyperlink" Target="https://www.lavatrading.com/news/pdf/LavaFlow_ADF_Migration.pdf" TargetMode="External" /><Relationship Id="rId34" Type="http://schemas.openxmlformats.org/officeDocument/2006/relationships/hyperlink" Target="http://www.sec.gov/rules/sro.shtml" TargetMode="External" /><Relationship Id="rId35" Type="http://schemas.openxmlformats.org/officeDocument/2006/relationships/hyperlink" Target="mailto:rule-comments@sec.gov" TargetMode="External" /><Relationship Id="rId36" Type="http://schemas.openxmlformats.org/officeDocument/2006/relationships/hyperlink" Target="https://advance.lexis.com/api/document?collection=administrative-codes&amp;id=urn:contentItem:5SPP-2120-008G-Y2ND-00000-00&amp;context="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1M-0BM0-006W-84PF-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71343161</vt:lpwstr>
  </property>
  <property fmtid="{D5CDD505-2E9C-101B-9397-08002B2CF9AE}" pid="3" name="LADocCount">
    <vt:lpwstr>1</vt:lpwstr>
  </property>
  <property fmtid="{D5CDD505-2E9C-101B-9397-08002B2CF9AE}" pid="4" name="UserPermID">
    <vt:lpwstr>urn:user:PA185916758</vt:lpwstr>
  </property>
</Properties>
</file>