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14974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054, Friday, March 20,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14974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20,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Developing Hispanic-Serving Institutions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Developing Hispanic-Serving Institutions (HSI) Program 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84.031S.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periodically check the HSI Program Web site for further information. The address is: </w:t>
      </w:r>
      <w:hyperlink r:id="rId8" w:history="1">
        <w:r>
          <w:rPr>
            <w:rFonts w:ascii="arial" w:eastAsia="arial" w:hAnsi="arial" w:cs="arial"/>
            <w:b w:val="0"/>
            <w:i/>
            <w:strike w:val="0"/>
            <w:noProof w:val="0"/>
            <w:color w:val="0077CC"/>
            <w:position w:val="0"/>
            <w:sz w:val="20"/>
            <w:u w:val="single"/>
            <w:vertAlign w:val="baseline"/>
          </w:rPr>
          <w:t>www.ed.gov/programs/idueshsi/index.html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 Delegation of Authority: The Secretary of Education has delegated authority to Jamienne S. Studley, Deputy Under Secretary, to perform the functions and duties of the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Jamienne S. Studley,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Under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2015-06501 Filed 3-19-15;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20,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HSI Program provides grants to assist HSIs to expand educational opportunities for, and improve the academic attainment of, Hispanic students. HSI Program grants also enable HSIs to expand and enhance the academic offerings, program quality, and institutional stability of colleges and universities that are educating the majority of Hispanic college students and help large numbers of Hispanic students and other low-income individuals complete postsecondary degrees.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2008, the Higher Education Act of 1965 (HEA) was amended by the Higher Education Opportunity Act of 2008 (HEOA). The HEOA made a number of changes to the HSI Program;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HSI Program in 34 CFR part 606 have not yet been updated to reflect these changes. Therefore, we encourage applicants to carefully read this notice, which references the statutory provisions where the corresponding regulatory provisions for this program have not been updated. </w:t>
      </w:r>
      <w:r>
        <w:rPr>
          <w:rFonts w:ascii="arial" w:eastAsia="arial" w:hAnsi="arial" w:cs="arial"/>
          <w:b/>
          <w:i w:val="0"/>
          <w:strike w:val="0"/>
          <w:noProof w:val="0"/>
          <w:color w:val="000000"/>
          <w:position w:val="0"/>
          <w:sz w:val="20"/>
          <w:u w:val="none"/>
          <w:vertAlign w:val="baseline"/>
        </w:rPr>
        <w:t> [*14975]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section 501 of the HEOA amended section 503(b) of the HEA to include, among the authorized activities under the HSI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Activities to improve student services, including innovative and customized instruction courses designed to help retain students and move the students into core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Articulation agreements and student support programs designed to facilitate the transfer of students from two-year to four-year institutions;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Providing education, counseling services, or financial information designed to improve the financial and economic literacy of students or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list of authorized activities in section 503(b) of the HEA was also amended to use the term "distance education technologies" in place of "distance learning academic instruction capabilities." Therefore, notwithstanding the description of authorized activities in 34 CFR 606.10, applicants may include these activities in their proposals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encourage applicants to read carefully the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section of this notice. Consistent with the Department's increasing emphasis in recent years on promoting evidence-based practices through our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Secretary will evaluate applications on the extent to which the proposed project is supported by a logic model that meets the evidence standard of "strong theory" (as defined in this notice). Resources to assist applicants in creating a logic model can be found here: </w:t>
      </w:r>
      <w:hyperlink r:id="rId11" w:history="1">
        <w:r>
          <w:rPr>
            <w:rFonts w:ascii="arial" w:eastAsia="arial" w:hAnsi="arial" w:cs="arial"/>
            <w:b w:val="0"/>
            <w:i/>
            <w:strike w:val="0"/>
            <w:noProof w:val="0"/>
            <w:color w:val="0077CC"/>
            <w:position w:val="0"/>
            <w:sz w:val="20"/>
            <w:u w:val="single"/>
            <w:vertAlign w:val="baseline"/>
          </w:rPr>
          <w:t>http://ies.ed.gov/ncee/edlabs/regions/pacific/pdf/REL_2014007.pdf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and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absolute priority is from the Department's notice of final supplemental priorities and definitions for discretionary grant programs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2"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is from section 503(b)(5) of the HEA.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is from the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increase the number and proportion of high-need students (as defined in this notice) who are academically prepared for, enroll in, or complete on time college, other postsecondary education, or other career and technical education.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 we award an application up to two additional points for each priority, for a total of up to four additional points, depending on how well the application meets each of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(Up to 2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Tutoring, counseling, and student service programs designed to improve academic success, including innovative and customized instruction courses (which may include remedial education and English language instruction) designed to help retain students and move the students rapidly into core courses and through program completion.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(Up to 2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support the development and implementation of high-quality online or hybrid credit-bearing and accessible learning opportunities that reduce the cost of higher education, reduce time to degree completion, or allow students to progress at their own pace.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the Supplemental Priorities and from 34 CFR 77.1 and apply to the priorities and selection criteria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which must define the term in a manner consistent with its State's Teacher Equity Plan, as required by section 1111(b)(8)(C) of the Elementary and Secondary Education Act of 1965, as amended. The applicant must provide the definition(s) of high-minority schools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developing logic models, applicants may want to use resources such as the Pacific Education Laboratory's Education Logic Model Application (</w:t>
      </w:r>
      <w:hyperlink r:id="rId13" w:history="1">
        <w:r>
          <w:rPr>
            <w:rFonts w:ascii="arial" w:eastAsia="arial" w:hAnsi="arial" w:cs="arial"/>
            <w:b w:val="0"/>
            <w:i/>
            <w:strike w:val="0"/>
            <w:noProof w:val="0"/>
            <w:color w:val="0077CC"/>
            <w:position w:val="0"/>
            <w:sz w:val="20"/>
            <w:u w:val="single"/>
            <w:vertAlign w:val="baseline"/>
          </w:rPr>
          <w:t>www.relpacific.mcrel.org/PERR.html</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http://files.eric.ed.gov/fulltext/ED544779.pdf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help design their logic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20 U.S.C. 1101</w:t>
        </w:r>
      </w:hyperlink>
      <w:r>
        <w:rPr>
          <w:rFonts w:ascii="arial" w:eastAsia="arial" w:hAnsi="arial" w:cs="arial"/>
          <w:b w:val="0"/>
          <w:i w:val="0"/>
          <w:strike w:val="0"/>
          <w:noProof w:val="0"/>
          <w:color w:val="000000"/>
          <w:position w:val="0"/>
          <w:sz w:val="20"/>
          <w:u w:val="none"/>
          <w:vertAlign w:val="baseline"/>
        </w:rPr>
        <w:t>-1101d; 1103-1103g.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606. (e)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grants--Individual Development Grants and Cooperative Arrangement Development Grants. Planning grants will not be awarded in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$ 52,287,473.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$ 500,000-$ 650,000.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 Development Grants: $ 513,000. </w:t>
      </w:r>
      <w:r>
        <w:rPr>
          <w:rFonts w:ascii="arial" w:eastAsia="arial" w:hAnsi="arial" w:cs="arial"/>
          <w:b/>
          <w:i w:val="0"/>
          <w:strike w:val="0"/>
          <w:noProof w:val="0"/>
          <w:color w:val="000000"/>
          <w:position w:val="0"/>
          <w:sz w:val="20"/>
          <w:u w:val="none"/>
          <w:vertAlign w:val="baseline"/>
        </w:rPr>
        <w:t> [*14976]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Cooperative Arrangement Development Grants: $ 637,000.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Development Grants: $ 525,000.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Cooperative Arrangement Development Grants: $ 650,000.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any application that proposes a budget exceeding these maximum amounts for a single budget period of 12 months. The Assistant Secretary for Postsecondary Education may change the maximum amount through a notice published in the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Development Grants: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Cooperative Arrangement Development Grants: 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 IHEs that qualify as eligible HSIs are eligible to apply for new Individual Development Grants and Cooperative Arrangement Development Grants under the HSI Program. To be an eligible HSI, an IHE must--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an enrollment of needy students, as defined in section 502(b) of the HEA (section 502(a)(2)(A)(i) of the HEA; </w:t>
      </w:r>
      <w:hyperlink r:id="rId16"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(a)(2)(A)(i));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Have, except as provided in section 522(b) of the HEA, average educational and general expenditures that are low, per full-time equivalent (FTE) undergraduate student, in comparison with the average educational and general expenditures per FTE undergraduate student of institutions that offer similar instruction (section 502(a)(2)(A)(ii) of the HEA; </w:t>
      </w:r>
      <w:hyperlink r:id="rId16"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(a)(2)(A)(ii));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To demonstrate an enrollment of needy students and low average educational and general expenditures per FTE undergraduate student, an IHE must be designated as an "eligible institution" in accordance with 34 CFR 606.3 through 606.5 and the notice inviting applications for designation as an eligible institution for the fiscal year for which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being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establishing eligibility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notice inviting applications for designation as an eligible institution for FY 2015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3, 2014 </w:t>
      </w:r>
      <w:hyperlink r:id="rId17" w:history="1">
        <w:r>
          <w:rPr>
            <w:rFonts w:ascii="arial" w:eastAsia="arial" w:hAnsi="arial" w:cs="arial"/>
            <w:b w:val="0"/>
            <w:i/>
            <w:strike w:val="0"/>
            <w:noProof w:val="0"/>
            <w:color w:val="0077CC"/>
            <w:position w:val="0"/>
            <w:sz w:val="20"/>
            <w:u w:val="single"/>
            <w:vertAlign w:val="baseline"/>
          </w:rPr>
          <w:t>(79 FR 65197),</w:t>
        </w:r>
      </w:hyperlink>
      <w:r>
        <w:rPr>
          <w:rFonts w:ascii="arial" w:eastAsia="arial" w:hAnsi="arial" w:cs="arial"/>
          <w:b w:val="0"/>
          <w:i w:val="0"/>
          <w:strike w:val="0"/>
          <w:noProof w:val="0"/>
          <w:color w:val="000000"/>
          <w:position w:val="0"/>
          <w:sz w:val="20"/>
          <w:u w:val="none"/>
          <w:vertAlign w:val="baseline"/>
        </w:rPr>
        <w:t xml:space="preserve"> and applications were due on December 22, 2014. Only institutions that submitted the required application and received designation through this process before the deadline date are eligible to submit applications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Be accredited by a nationally recognized accrediting agency or association that the Secretary has determined to be a reliable authority as to the quality of education or training offered, or making reasonable progress toward accreditation, according to such an agency or association (section 502(a)(2)(A)(iv) of the HEA; </w:t>
      </w:r>
      <w:hyperlink r:id="rId16"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(a)(2)(A)(iv));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Be legally authorized to provide, and provide within the State, an educational program for which the institution awards a bachelor's degree (section 502(a)(2)(A)(iii) of the HEA), or be a junior or community college </w:t>
      </w:r>
      <w:hyperlink r:id="rId16"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(a)(2)(A)(iii));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Have an enrollment of undergraduate FTE students that is at least 25 percent Hispanic students at the end of the award year immediately preceding the date of application (section 502(a)(5)(B) of the HEA; </w:t>
      </w:r>
      <w:hyperlink r:id="rId16"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(a)(5)(B));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Provide, as an attachment to the application, the documentation the IHE relied upon in determining that at least 25 percent of the IHE's undergraduate FTE students are Hispanic. The 25 percent requirement applies only to undergraduate Hispanic students and is calculated based upon FTE students as defined in section 502(a)(4) of the HEA. Instructions for formatting and submitting the verification documentation to Grants.gov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Funds for the HSI Program will be awarded each fiscal year; thus, for this program, the "end of the award year immediately preceding the date of application" refers to the end of the fiscal year prior to the application due date. The end of the fiscal year occurs on September 30 for any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considering applications for grants under this program, the Department will compare the data and documentation the institution relied on in its application with data reported to the Department's Integrated Postsecondary Education Data System (IPEDS), the IHE's State-reported enrollment data, and the institutional annual report. If different percentages or data are reported in these various sources, the institution must, as part of the 25 percent assurance verification, explain the reason for the differences. If the IPEDS data show that less than 25 percent of the institution's undergraduate FTE students are Hispanic, the burden is on the institution to show that the IPEDS data are inaccurate. If the IPEDS data indicate that the institution has an undergraduate FTE less than 25 percent, and the institution fails to demonstrate that the IPEDS data are inaccurate, the institution will be considered ineligible.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For purposes of making the determination described in paragraph (e) of the eligibility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IHEs must report their undergraduate Hispanic FTE percentages based on the student enrollment count closest to, but not after, September 30,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 A grantee under the HSI Program, which is authorized by title V of the HEA, may not receive a grant under any HEA, title III, part A or part B program (section 505 of the HEA; </w:t>
      </w:r>
      <w:hyperlink r:id="rId18" w:history="1">
        <w:r>
          <w:rPr>
            <w:rFonts w:ascii="arial" w:eastAsia="arial" w:hAnsi="arial" w:cs="arial"/>
            <w:b w:val="0"/>
            <w:i/>
            <w:strike w:val="0"/>
            <w:noProof w:val="0"/>
            <w:color w:val="0077CC"/>
            <w:position w:val="0"/>
            <w:sz w:val="20"/>
            <w:u w:val="single"/>
            <w:vertAlign w:val="baseline"/>
          </w:rPr>
          <w:t>20 U.S.C. 1101D).</w:t>
        </w:r>
      </w:hyperlink>
      <w:r>
        <w:rPr>
          <w:rFonts w:ascii="arial" w:eastAsia="arial" w:hAnsi="arial" w:cs="arial"/>
          <w:b w:val="0"/>
          <w:i w:val="0"/>
          <w:strike w:val="0"/>
          <w:noProof w:val="0"/>
          <w:color w:val="000000"/>
          <w:position w:val="0"/>
          <w:sz w:val="20"/>
          <w:u w:val="none"/>
          <w:vertAlign w:val="baseline"/>
        </w:rPr>
        <w:t xml:space="preserve"> The title III, part A programs include: The Strengthening Institutions Program; the American Indian Tribally Controlled Colleges and Universities Program; the Alaska Native and Native Hawaiian-Serving Institutions Programs; the Asian American and Native American Pacific Islander-Serving Institutions Program; and the Native American-Serving Non-Tribal Institutions Program. Furthermore, a current HSI Program grantee may not give up its HSI grant in order to receive a grant under any title III, part A program (§ 606.2(c)(1)).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HSI that does not fall within the limitation described in paragraph (d)(i) may apply for a FY 2015 grant under all title III, part A programs for which it is eligible, as well as under the HSI Program. However, a successful applicant may receive only one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 eligible HSI that submits multiple applications may only be awarded at most one Individual Development Grant and/or one Cooperative Arrangement Development Grant per fiscal year (34 CFR 606.9 and 606.13). In addition, the Secretary will not award a second Individual Development Grant to an HSI with a current five-year Individual Development Grant as described in 34 CFR 606.9(b)(1).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An eligible HSI that submits a Cooperative Arrangement Development Grant with a partnering branch campus that is a part of the same institution will not be awarded a grant (34 CFR 606.7(b)).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 unless the grantee uses a portion of its grant for establishing or improving an endowment fund. If a grantee uses a portion of its grant for endowment fund purposes, it must match those grant funds with non-Federal funds (section 503(c)(2) of the HEA; </w:t>
      </w:r>
      <w:hyperlink r:id="rId19" w:history="1">
        <w:r>
          <w:rPr>
            <w:rFonts w:ascii="arial" w:eastAsia="arial" w:hAnsi="arial" w:cs="arial"/>
            <w:b w:val="0"/>
            <w:i/>
            <w:strike w:val="0"/>
            <w:noProof w:val="0"/>
            <w:color w:val="0077CC"/>
            <w:position w:val="0"/>
            <w:sz w:val="20"/>
            <w:u w:val="single"/>
            <w:vertAlign w:val="baseline"/>
          </w:rPr>
          <w:t>20 U.S.C. 1101b</w:t>
        </w:r>
      </w:hyperlink>
      <w:r>
        <w:rPr>
          <w:rFonts w:ascii="arial" w:eastAsia="arial" w:hAnsi="arial" w:cs="arial"/>
          <w:b w:val="0"/>
          <w:i w:val="0"/>
          <w:strike w:val="0"/>
          <w:noProof w:val="0"/>
          <w:color w:val="000000"/>
          <w:position w:val="0"/>
          <w:sz w:val="20"/>
          <w:u w:val="none"/>
          <w:vertAlign w:val="baseline"/>
        </w:rPr>
        <w:t>(c)(2)).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Carnisia M. Proctor, U.S. </w:t>
      </w:r>
      <w:r>
        <w:rPr>
          <w:rFonts w:ascii="arial" w:eastAsia="arial" w:hAnsi="arial" w:cs="arial"/>
          <w:b/>
          <w:i w:val="0"/>
          <w:strike w:val="0"/>
          <w:noProof w:val="0"/>
          <w:color w:val="000000"/>
          <w:position w:val="0"/>
          <w:sz w:val="20"/>
          <w:u w:val="none"/>
          <w:vertAlign w:val="baseline"/>
        </w:rPr>
        <w:t> [*14977] </w:t>
      </w:r>
      <w:r>
        <w:rPr>
          <w:rFonts w:ascii="arial" w:eastAsia="arial" w:hAnsi="arial" w:cs="arial"/>
          <w:b w:val="0"/>
          <w:i w:val="0"/>
          <w:strike w:val="0"/>
          <w:noProof w:val="0"/>
          <w:color w:val="000000"/>
          <w:position w:val="0"/>
          <w:sz w:val="20"/>
          <w:u w:val="none"/>
          <w:vertAlign w:val="baseline"/>
        </w:rPr>
        <w:t xml:space="preserve"> Department of Education, 1990 K Street NW., Room 6010, Washington, DC 20006-8513. Telephone: (202) 502-7606 or by email: </w:t>
      </w:r>
      <w:hyperlink r:id="rId20" w:history="1">
        <w:r>
          <w:rPr>
            <w:rFonts w:ascii="arial" w:eastAsia="arial" w:hAnsi="arial" w:cs="arial"/>
            <w:b w:val="0"/>
            <w:i/>
            <w:strike w:val="0"/>
            <w:noProof w:val="0"/>
            <w:color w:val="0077CC"/>
            <w:position w:val="0"/>
            <w:sz w:val="20"/>
            <w:u w:val="single"/>
            <w:vertAlign w:val="baseline"/>
          </w:rPr>
          <w:t>Carnisia.Proctor@ed.gov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the absolute priority,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that reviewers use to evaluate your application. We have established mandatory page limits for Individual Development Grant and Cooperative Arrangement Development Grant applications. You must limit the section of the application narrative that addresses: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criteria and the absolute priority to no more than 50 pages for an Individual Development Grant application and no more than 70 pages for a Cooperative Arrangement Development Grant application.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if you are addressing one or both, to no more than three pages (for a total of six pages if you address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under no circumstances may the application narrative exceed 56 pages for an Individual Development Grant application or 76 pages for a Cooperative Arrangement Development Grant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include a separate heading for the absolute priority and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that you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determining compliance with the page limits, each page on which there are words will be counted as one full page. Applicants must use the following standards: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except titles, headings, footnotes, quotations, references, captions and all text in charts, tables, figures, and graphs. These items may be single-spaced. Charts, tables, figures, and graphs in the application narrative count toward the page limit.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However, you may use a 10-point font in charts, tables, figures, graphs, footnotes, and endnotes.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applies to all of the application narrative section, including your complete response to the selection criteria (including the budget narrative), the absolute priority,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However, the page limit does not apply to Part I, the Application for Federal Assistance (SF 424); the Department of Education Supplemental Information form (SF 424); Part II, Budget Information--Non-Construction Programs (ED 524); Part IV, the assurances and certifications; or the one-page project abstract, program activity budget detail form and supporting narrative, and the five-year plan. If you include any attachments or appendices not specifically requested in the application package, these items will be counted as part of your application narrative for purposes of the page-limit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narrative response to the budget selection criteria is not the same as the activity detail budget form and supporting narrative. The supporting narrative for the activity detail budget form lists the requested budget items line by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one of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Applicability of Executive Order 13202.</w:t>
      </w:r>
      <w:r>
        <w:rPr>
          <w:rFonts w:ascii="arial" w:eastAsia="arial" w:hAnsi="arial" w:cs="arial"/>
          <w:b w:val="0"/>
          <w:i w:val="0"/>
          <w:strike w:val="0"/>
          <w:noProof w:val="0"/>
          <w:color w:val="000000"/>
          <w:position w:val="0"/>
          <w:sz w:val="20"/>
          <w:u w:val="none"/>
          <w:vertAlign w:val="baseline"/>
        </w:rPr>
        <w:t xml:space="preserve"> Applicants that apply for construction funds under the HSI Program must comply with Executive Order 13202, as amended. This Executive order provides that recipients of Federal construction funds may not "require or prohibit bidders, offerors, contractors, or subcontractors to enter into or adhere to agreements with one or more labor organizations, on the same or other construction project(s)" or "otherwise discriminate against bidders, offerors, contractors, or subcontractors for becoming or refusing to become or remain signatories or otherwise to adhere to agreements with one or more labor organizations, on the same or other related construction project(s)." Projects funded under this program that include construction activity will be provided a copy of this Executive order and will be asked to certify that they will adhere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Maintain an active SAM registration with current information while your application is under review </w:t>
      </w:r>
      <w:r>
        <w:rPr>
          <w:rFonts w:ascii="arial" w:eastAsia="arial" w:hAnsi="arial" w:cs="arial"/>
          <w:b/>
          <w:i w:val="0"/>
          <w:strike w:val="0"/>
          <w:noProof w:val="0"/>
          <w:color w:val="000000"/>
          <w:position w:val="0"/>
          <w:sz w:val="20"/>
          <w:u w:val="none"/>
          <w:vertAlign w:val="baseline"/>
        </w:rPr>
        <w:t> [*14978] </w:t>
      </w:r>
      <w:r>
        <w:rPr>
          <w:rFonts w:ascii="arial" w:eastAsia="arial" w:hAnsi="arial" w:cs="arial"/>
          <w:b w:val="0"/>
          <w:i w:val="0"/>
          <w:strike w:val="0"/>
          <w:noProof w:val="0"/>
          <w:color w:val="000000"/>
          <w:position w:val="0"/>
          <w:sz w:val="20"/>
          <w:u w:val="none"/>
          <w:vertAlign w:val="baseline"/>
        </w:rPr>
        <w:t xml:space="preserve">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1"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2"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3"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HSI Program, CFDA number 84.031S, must be submitted electronically using the Governmentwide Grants.gov Apply site at </w:t>
      </w:r>
      <w:hyperlink r:id="rId2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HSI Program at </w:t>
      </w:r>
      <w:hyperlink r:id="rId2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84.031, not 84.031S).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5"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w:t>
      </w:r>
      <w:r>
        <w:rPr>
          <w:rFonts w:ascii="arial" w:eastAsia="arial" w:hAnsi="arial" w:cs="arial"/>
          <w:b/>
          <w:i w:val="0"/>
          <w:strike w:val="0"/>
          <w:noProof w:val="0"/>
          <w:color w:val="000000"/>
          <w:position w:val="0"/>
          <w:sz w:val="20"/>
          <w:u w:val="none"/>
          <w:vertAlign w:val="baseline"/>
        </w:rPr>
        <w:t> [*14979] </w:t>
      </w:r>
      <w:r>
        <w:rPr>
          <w:rFonts w:ascii="arial" w:eastAsia="arial" w:hAnsi="arial" w:cs="arial"/>
          <w:b w:val="0"/>
          <w:i w:val="0"/>
          <w:strike w:val="0"/>
          <w:noProof w:val="0"/>
          <w:color w:val="000000"/>
          <w:position w:val="0"/>
          <w:sz w:val="20"/>
          <w:u w:val="none"/>
          <w:vertAlign w:val="baseline"/>
        </w:rPr>
        <w:t xml:space="preserv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Carnisia M. Proctor, U.S. Department of Education, 1990 K Street NW., Room 6010, Washington, DC 20006-8513. FAX: (202) 502-7813.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84.031S),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84.031S),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606.22 and from 34 CFR 75.210 and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applicant's comprehensive development plan.</w:t>
      </w:r>
      <w:r>
        <w:rPr>
          <w:rFonts w:ascii="arial" w:eastAsia="arial" w:hAnsi="arial" w:cs="arial"/>
          <w:b w:val="0"/>
          <w:i w:val="0"/>
          <w:strike w:val="0"/>
          <w:noProof w:val="0"/>
          <w:color w:val="000000"/>
          <w:position w:val="0"/>
          <w:sz w:val="20"/>
          <w:u w:val="none"/>
          <w:vertAlign w:val="baseline"/>
        </w:rPr>
        <w:t xml:space="preserve">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strengths, weaknesses, and significant problems of the institution's academic programs, institutional management, and fiscal stability are clearly and comprehensively analyzed and result from a process that involved major constituencies of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goals for the institution's academic programs, institutional management, and fiscal stability are realistic and based on comprehensive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objectives stated in the plan are measurable, related to institutional goals, and, if achieved, will contribute to the growth and self-sufficiency of the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plan clearly and comprehensively describes the methods and resources the institution will use to institutionalize practice and improvements developed under the proposed project, including, in particular, how operational costs for personnel, maintenance, and upgrades of equipment will be paid with institutional resources. </w:t>
      </w:r>
      <w:r>
        <w:rPr>
          <w:rFonts w:ascii="arial" w:eastAsia="arial" w:hAnsi="arial" w:cs="arial"/>
          <w:b/>
          <w:i w:val="0"/>
          <w:strike w:val="0"/>
          <w:noProof w:val="0"/>
          <w:color w:val="000000"/>
          <w:position w:val="0"/>
          <w:sz w:val="20"/>
          <w:u w:val="none"/>
          <w:vertAlign w:val="baseline"/>
        </w:rPr>
        <w:t> [*14980]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activity objectives.</w:t>
      </w:r>
      <w:r>
        <w:rPr>
          <w:rFonts w:ascii="arial" w:eastAsia="arial" w:hAnsi="arial" w:cs="arial"/>
          <w:b w:val="0"/>
          <w:i w:val="0"/>
          <w:strike w:val="0"/>
          <w:noProof w:val="0"/>
          <w:color w:val="000000"/>
          <w:position w:val="0"/>
          <w:sz w:val="20"/>
          <w:u w:val="none"/>
          <w:vertAlign w:val="baseline"/>
        </w:rPr>
        <w:t xml:space="preserve"> The extent to which the objectives for each activity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Realistic and defined in terms of measurable results;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Directly related to the problems to be solved and to the goals of the comprehensive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implementation strategy.</w:t>
      </w:r>
      <w:r>
        <w:rPr>
          <w:rFonts w:ascii="arial" w:eastAsia="arial" w:hAnsi="arial" w:cs="arial"/>
          <w:b w:val="0"/>
          <w:i w:val="0"/>
          <w:strike w:val="0"/>
          <w:noProof w:val="0"/>
          <w:color w:val="000000"/>
          <w:position w:val="0"/>
          <w:sz w:val="20"/>
          <w:u w:val="none"/>
          <w:vertAlign w:val="baseline"/>
        </w:rPr>
        <w:t xml:space="preserve">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implementation strategy for each activity is comprehensive;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rationale for the implementation strategy for each activity is clearly described and is supported by the results of relevant studies or projects;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timetable for each activity is realistic and likely to be attained.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key personnel.</w:t>
      </w:r>
      <w:r>
        <w:rPr>
          <w:rFonts w:ascii="arial" w:eastAsia="arial" w:hAnsi="arial" w:cs="arial"/>
          <w:b w:val="0"/>
          <w:i w:val="0"/>
          <w:strike w:val="0"/>
          <w:noProof w:val="0"/>
          <w:color w:val="000000"/>
          <w:position w:val="0"/>
          <w:sz w:val="20"/>
          <w:u w:val="none"/>
          <w:vertAlign w:val="baseline"/>
        </w:rPr>
        <w:t xml:space="preserve">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past experience and training of key professional personnel are directly related to the stated activity objectives;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time commitment of key personnel is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project management plan.</w:t>
      </w:r>
      <w:r>
        <w:rPr>
          <w:rFonts w:ascii="arial" w:eastAsia="arial" w:hAnsi="arial" w:cs="arial"/>
          <w:b w:val="0"/>
          <w:i w:val="0"/>
          <w:strike w:val="0"/>
          <w:noProof w:val="0"/>
          <w:color w:val="000000"/>
          <w:position w:val="0"/>
          <w:sz w:val="20"/>
          <w:u w:val="none"/>
          <w:vertAlign w:val="baseline"/>
        </w:rPr>
        <w:t xml:space="preserve">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Procedures for managing the project are likely to ensure efficient and effective project implementation;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project coordinator and activity directors have sufficient authority to conduct the project effectively, including access to the president or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evaluation plan.</w:t>
      </w:r>
      <w:r>
        <w:rPr>
          <w:rFonts w:ascii="arial" w:eastAsia="arial" w:hAnsi="arial" w:cs="arial"/>
          <w:b w:val="0"/>
          <w:i w:val="0"/>
          <w:strike w:val="0"/>
          <w:noProof w:val="0"/>
          <w:color w:val="000000"/>
          <w:position w:val="0"/>
          <w:sz w:val="20"/>
          <w:u w:val="none"/>
          <w:vertAlign w:val="baseline"/>
        </w:rPr>
        <w:t xml:space="preserve">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data elements and the data collection procedures are clearly described and appropriate to measure the attainment of activity objectives and to measure the success of the project in achieving the goals of the comprehensive development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data analysis procedures are clearly described and are likely to produce formative and summative results on attaining activity objectives and measuring the success of the project on achieving the goals of the comprehensive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Budget.</w:t>
      </w:r>
      <w:r>
        <w:rPr>
          <w:rFonts w:ascii="arial" w:eastAsia="arial" w:hAnsi="arial" w:cs="arial"/>
          <w:b w:val="0"/>
          <w:i w:val="0"/>
          <w:strike w:val="0"/>
          <w:noProof w:val="0"/>
          <w:color w:val="000000"/>
          <w:position w:val="0"/>
          <w:sz w:val="20"/>
          <w:u w:val="none"/>
          <w:vertAlign w:val="baseline"/>
        </w:rPr>
        <w:t xml:space="preserve"> The extent to which the proposed costs are necessary and reasonable in relation to the project's objectives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The Secretary considers the quality of the design of the proposed project. In determining the quality of the design of the proposed project, the Secretary considers the extent to which the proposed project is supported by strong theory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Tiebreaker:</w:t>
      </w:r>
      <w:r>
        <w:rPr>
          <w:rFonts w:ascii="arial" w:eastAsia="arial" w:hAnsi="arial" w:cs="arial"/>
          <w:b w:val="0"/>
          <w:i w:val="0"/>
          <w:strike w:val="0"/>
          <w:noProof w:val="0"/>
          <w:color w:val="000000"/>
          <w:position w:val="0"/>
          <w:sz w:val="20"/>
          <w:u w:val="none"/>
          <w:vertAlign w:val="baseline"/>
        </w:rPr>
        <w:t xml:space="preserve"> In tie-breaking situations for development grants described in 34 CFR 606.23(b), the HSI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we award one additional point to an application from an IHE that has an endowment fund of which the current market value, per FTE enrolled student, is less than the average current market value of the endowment funds, per FTE enrolled student, at comparable institutions that offer similar instruction. We also award one additional point to an application from an IHE that has expenditures for library materials per FTE enrolled student that are less than the average expenditures for library materials per FTE enrolled student at comparable institutions that offer similar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these funding considerations, we use 2012-2013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tie remains after applying the tiebreaker mechanism above, priority will be given in the case of applicants for (a) Individual Development Grants, to applicants that addressed the statutory priority found in section 521(d) of the HEA; and (b) Cooperative Arrangement Development Grants, to applicants in accordance with section 524(b) of the HEA, under which the Secretary determines that the cooperative arrangement is geographically and economically sound or will benefit the applicant HSI.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tie still remains after applying the additional point(s) and the relevant statutory priority, we will determine the ranking of applicants based on the lowest endowment values per FTE enrolled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6" w:history="1">
        <w:r>
          <w:rPr>
            <w:rFonts w:ascii="arial" w:eastAsia="arial" w:hAnsi="arial" w:cs="arial"/>
            <w:b w:val="0"/>
            <w:i/>
            <w:strike w:val="0"/>
            <w:noProof w:val="0"/>
            <w:color w:val="0077CC"/>
            <w:position w:val="0"/>
            <w:sz w:val="20"/>
            <w:u w:val="single"/>
            <w:vertAlign w:val="baseline"/>
          </w:rPr>
          <w:t>www.ed.gov/fund/grant/apply/appforms.html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the following key performance measures for assessing the effectiveness of the HSI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change, over the five-year grant period, of the number of full-time degree-seeking undergraduate students enrolled at HSIs.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percentage of first-time, full-time degree-seeking undergraduate students who were in their first year of postsecondary enrollment in the </w:t>
      </w:r>
      <w:r>
        <w:rPr>
          <w:rFonts w:ascii="arial" w:eastAsia="arial" w:hAnsi="arial" w:cs="arial"/>
          <w:b/>
          <w:i w:val="0"/>
          <w:strike w:val="0"/>
          <w:noProof w:val="0"/>
          <w:color w:val="000000"/>
          <w:position w:val="0"/>
          <w:sz w:val="20"/>
          <w:u w:val="none"/>
          <w:vertAlign w:val="baseline"/>
        </w:rPr>
        <w:t> [*14981] </w:t>
      </w:r>
      <w:r>
        <w:rPr>
          <w:rFonts w:ascii="arial" w:eastAsia="arial" w:hAnsi="arial" w:cs="arial"/>
          <w:b w:val="0"/>
          <w:i w:val="0"/>
          <w:strike w:val="0"/>
          <w:noProof w:val="0"/>
          <w:color w:val="000000"/>
          <w:position w:val="0"/>
          <w:sz w:val="20"/>
          <w:u w:val="none"/>
          <w:vertAlign w:val="baseline"/>
        </w:rPr>
        <w:t xml:space="preserve"> previous year and are enrolled in the current year at the same two-year HSI.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percentage of first-time, full-time degree-seeking undergraduate students who were in their first year of postsecondary enrollment in the previous year and are enrolled in the current year at the same four-year HSI.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percentage of first-time, full-time degree-seeking undergraduate students enrolled at four-year HSIs graduating within six years of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percentage of first-time, full-time degree-seeking undergraduate students enrolled at two-year HSIs graduating within three years of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Federal cost per undergraduate and graduate degree at institutions in the HSI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Carnisia M. Proctor, U.S. Department of Education, 1990 K Street NW., Room 6010, Washington, DC 20006-8513. Telephone: (202) 502-7606 or by email: </w:t>
      </w:r>
      <w:hyperlink r:id="rId20" w:history="1">
        <w:r>
          <w:rPr>
            <w:rFonts w:ascii="arial" w:eastAsia="arial" w:hAnsi="arial" w:cs="arial"/>
            <w:b w:val="0"/>
            <w:i/>
            <w:strike w:val="0"/>
            <w:noProof w:val="0"/>
            <w:color w:val="0077CC"/>
            <w:position w:val="0"/>
            <w:sz w:val="20"/>
            <w:u w:val="single"/>
            <w:vertAlign w:val="baseline"/>
          </w:rPr>
          <w:t>Carnisia.Proctor@ed.gov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14974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www.federalregister.gov" TargetMode="External" /><Relationship Id="rId11" Type="http://schemas.openxmlformats.org/officeDocument/2006/relationships/hyperlink" Target="http://ies.ed.gov/ncee/edlabs/regions/pacific/pdf/REL_2014007.pdf" TargetMode="External" /><Relationship Id="rId12" Type="http://schemas.openxmlformats.org/officeDocument/2006/relationships/hyperlink" Target="https://advance.lexis.com/api/document?collection=administrative-codes&amp;id=urn:contentItem:5DT7-0130-006W-81YP-00000-00&amp;context=" TargetMode="External" /><Relationship Id="rId13" Type="http://schemas.openxmlformats.org/officeDocument/2006/relationships/hyperlink" Target="www.relpacific.mcrel.org/PERR.html" TargetMode="External" /><Relationship Id="rId14" Type="http://schemas.openxmlformats.org/officeDocument/2006/relationships/hyperlink" Target="http://files.eric.ed.gov/fulltext/ED544779.pdf" TargetMode="External" /><Relationship Id="rId15" Type="http://schemas.openxmlformats.org/officeDocument/2006/relationships/hyperlink" Target="https://advance.lexis.com/api/document?collection=statutes-legislation&amp;id=urn:contentItem:4YF7-GKV1-NRF4-43SC-00000-00&amp;context=" TargetMode="External" /><Relationship Id="rId16" Type="http://schemas.openxmlformats.org/officeDocument/2006/relationships/hyperlink" Target="https://advance.lexis.com/api/document?collection=statutes-legislation&amp;id=urn:contentItem:4YF7-GPN1-NRF4-407J-00000-00&amp;context=" TargetMode="External" /><Relationship Id="rId17" Type="http://schemas.openxmlformats.org/officeDocument/2006/relationships/hyperlink" Target="https://advance.lexis.com/api/document?collection=administrative-codes&amp;id=urn:contentItem:5DHB-0TG0-006W-83HD-00000-00&amp;context=" TargetMode="External" /><Relationship Id="rId18" Type="http://schemas.openxmlformats.org/officeDocument/2006/relationships/hyperlink" Target="https://advance.lexis.com/api/document?collection=statutes-legislation&amp;id=urn:contentItem:4YF7-GM81-NRF4-42K5-00000-00&amp;context=" TargetMode="External" /><Relationship Id="rId19" Type="http://schemas.openxmlformats.org/officeDocument/2006/relationships/hyperlink" Target="https://advance.lexis.com/api/document?collection=statutes-legislation&amp;id=urn:contentItem:4YF7-GTB1-NRF4-4119-00000-00&amp;context=" TargetMode="External" /><Relationship Id="rId2" Type="http://schemas.openxmlformats.org/officeDocument/2006/relationships/webSettings" Target="webSettings.xml" /><Relationship Id="rId20" Type="http://schemas.openxmlformats.org/officeDocument/2006/relationships/hyperlink" Target="mailto:Carnisia.Proctor@ed.gov" TargetMode="External" /><Relationship Id="rId21" Type="http://schemas.openxmlformats.org/officeDocument/2006/relationships/hyperlink" Target="www.SAM.gov" TargetMode="External" /><Relationship Id="rId22" Type="http://schemas.openxmlformats.org/officeDocument/2006/relationships/hyperlink" Target="http://www2.ed.gov/fund/grant/apply/sam-faqs.html" TargetMode="External" /><Relationship Id="rId23" Type="http://schemas.openxmlformats.org/officeDocument/2006/relationships/hyperlink" Target="www.grants.gov/web/grants/register.html" TargetMode="External" /><Relationship Id="rId24" Type="http://schemas.openxmlformats.org/officeDocument/2006/relationships/hyperlink" Target="www.Grants.gov" TargetMode="External" /><Relationship Id="rId25" Type="http://schemas.openxmlformats.org/officeDocument/2006/relationships/hyperlink" Target="www.G5.gov" TargetMode="External" /><Relationship Id="rId26" Type="http://schemas.openxmlformats.org/officeDocument/2006/relationships/hyperlink" Target="www.ed.gov/fund/grant/apply/appforms.html" TargetMode="Externa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JJ-4YX0-006W-81VN-00000-00&amp;context=" TargetMode="External" /><Relationship Id="rId8" Type="http://schemas.openxmlformats.org/officeDocument/2006/relationships/hyperlink" Target="www.ed.gov/programs/idueshsi/index.html" TargetMode="External" /><Relationship Id="rId9" Type="http://schemas.openxmlformats.org/officeDocument/2006/relationships/hyperlink" Target="www.gpo.gov/fdsy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23514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71560547</vt:lpwstr>
  </property>
  <property fmtid="{D5CDD505-2E9C-101B-9397-08002B2CF9AE}" pid="3" name="LADocCount">
    <vt:lpwstr>1</vt:lpwstr>
  </property>
  <property fmtid="{D5CDD505-2E9C-101B-9397-08002B2CF9AE}" pid="4" name="UserPermID">
    <vt:lpwstr>urn:user:PA185916758</vt:lpwstr>
  </property>
</Properties>
</file>