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007, Monday, January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1549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 BBO and NYSE Arca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34-73998; File No. SR-NYSEARCA-2014-148]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24, 2014,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BBO and NYSE Arca Trades to: (1) Change the way the user fee is calculated and applied, operative on January 1, 2015; and (2) establish eligibility requirements for redistribution on a managed non-display basis and an access fee for managed non-display data recipients, operative on January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BBO and NYSE Arca Trades data feeds, as set forth on the NYSE Arca Equities Proprietary Market Data Fee Schedule ("Fee Schedule"),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way the user fees are calculated and applied by eliminating the unit-of-count policy, operative on January 1, 2015;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eligibility requirements for redistribution of market data on a Managed Non-Display basis and establish an access fee for Managed Non-Display data recipients, operative on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Method of Calculating and Applying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Arca BBO and NYSE Arca Trades data feeds, the Fee Schedule sets forth a Professional User Fee of $ 4 per month or a Non-Professional User Fee of $ 0.25 per month. These user fees generally apply to each display device that has access to NYSE Arca BBO or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and subscribers that are eligible for the Unit-of-Count Policy may avail themselves of an alternative method for counting how many user fees should be charged for display use of the NYSE Arca BBO and Trades data feeds. The Unit-of-Count Policy was first introduced by the Exchange's affiliate, New York Stock Exchange LLC ("NYSE"), as a pilot in 2009 for its NYSE OpenBook data feed n4 and is available for NYSE Arca BBO and NYSE Arca Trades. n5 Since April 2013, the Unit-of-Count Policy has applied only to user fees associated with display usage.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59544 (Mar. 9, 2009), </w:t>
      </w:r>
      <w:hyperlink r:id="rId12"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 16, 2009) (SR-NYSE-2008-131) and 62038 (May 5, 2010), </w:t>
      </w:r>
      <w:hyperlink r:id="rId13"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62188 (May 27, 2010), </w:t>
      </w:r>
      <w:hyperlink r:id="rId14" w:history="1">
        <w:r>
          <w:rPr>
            <w:rFonts w:ascii="arial" w:eastAsia="arial" w:hAnsi="arial" w:cs="arial"/>
            <w:b w:val="0"/>
            <w:i/>
            <w:strike w:val="0"/>
            <w:noProof w:val="0"/>
            <w:color w:val="0077CC"/>
            <w:position w:val="0"/>
            <w:sz w:val="20"/>
            <w:u w:val="single"/>
            <w:vertAlign w:val="baseline"/>
          </w:rPr>
          <w:t>75 FR 70311</w:t>
        </w:r>
      </w:hyperlink>
      <w:r>
        <w:rPr>
          <w:rFonts w:ascii="arial" w:eastAsia="arial" w:hAnsi="arial" w:cs="arial"/>
          <w:b w:val="0"/>
          <w:i w:val="0"/>
          <w:strike w:val="0"/>
          <w:noProof w:val="0"/>
          <w:color w:val="000000"/>
          <w:position w:val="0"/>
          <w:sz w:val="20"/>
          <w:u w:val="none"/>
          <w:vertAlign w:val="baseline"/>
        </w:rPr>
        <w:t xml:space="preserve"> (Nov. 17, 2010 (SR-NYSEArca-2010-23) ("Unit-of-Count Policy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69315 (Apr. 5, 2013), </w:t>
      </w:r>
      <w:hyperlink r:id="rId15"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 11, 2013) (SR-NYSEArca-2013-37) ("2013 Non-Display Filing") and 73011 (Sept. 5, 2014), </w:t>
      </w:r>
      <w:hyperlink r:id="rId16"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Existing customers approved for the Unit-of-Count Policy for display usage have continued to follow the Policy in anticipation of new display fees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Unit-of-Count Policy for these subscribers is that a single user fee applies to individual users that receive multiple display device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devices displaying NYSE Arca BBO or NYSE Arca Trades, referred to as "netting." The Exchange proposes to retire the Unit-of-Count Policy effective January 1, 2015. As a result, as of January 1, 2015, subscribers that are currently eligible for "netting" under the Unit-of-Count Policy would pay the user fee for each display device that has access to NYSE Arca BBO or NYSE Arca Trades, even if a single user is receiving NYSE Arca BBO or NYSE Arca Trades over multiple devices, as well as all other applicable fees set forth on the Fee Schedule. </w:t>
      </w:r>
      <w:r>
        <w:rPr>
          <w:rFonts w:ascii="arial" w:eastAsia="arial" w:hAnsi="arial" w:cs="arial"/>
          <w:b/>
          <w:i w:val="0"/>
          <w:strike w:val="0"/>
          <w:noProof w:val="0"/>
          <w:color w:val="000000"/>
          <w:position w:val="0"/>
          <w:sz w:val="20"/>
          <w:u w:val="none"/>
          <w:vertAlign w:val="baseline"/>
        </w:rPr>
        <w:t> [*1550]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Managed Non-Display Services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Arca market data means accessing, processing, or consuming NYSE Arca market data delivered via direct and/or Redistributor n7 data feeds for a purpose other than in support of a data recipient's display or further internal or external redistribution. A Redistributor approved for Managed Non-Display Services manages and controls the access to NYSE Arca BBO or NYSE Arca Trades and does not allow for further internal distribution or external redistribution of NYSE Arca BBO or NYSE Arca Trades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Arca BBO or NYSE Arca Trades through the Redistributor's Managed Non-Display Service. A data recipient receiving NYSE Arca BBO or NYSE Arca Trades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n8 In connection with the retirement of the Unit-of-Count Policy, n9 eligibility for Managed Non-Display Services of NYSE Arca BBO or NYSE Arca Trades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Arca BBO or NYSE Arca Trades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Unit-of-Count Policy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Exchange has separately proposed to retire the Unit-of-Count Policy and modify the eligibility requirements for Managed Non-Display Services for all of its proprietary market data products, including NYSE Arca BBO and NYSE Arca Trades, and thereby harmonize the eligibility requirements for all NYSE Arca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SR-NYSEArca-2014-147 (filing for NYSE Integrated Feed) and SR-NYSEArca-2014-149 (filing for NYSE ArcaBook) (collectively, "NYSE Arca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Arca BBO or NYSE Arca Trades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Arca BBO or NYSE Arca Trades in the Redistributor's own messaging formats (rather than using raw message formats) by reformatting and/or altering NYSE Arca BBO or NYSE Arca Trades prior to retransmission without affecting the integrity of NYSE Arca BBO or NYSE Arca Trades and without rendering NYSE Arca BBO or NYSE Arca Trades inaccurate, unfair, uninformative, fictitious, misleading or discriminatory. The proposed eligibility requirements are similar to data distribution models currently in use and align the Exchange with other markets.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7"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8"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Arca BBO or NYSE Arca Trades through the Redistributor's Managed Non-Display Service. A data recipient receiving NYSE Arca BBO or NYSE Arca Trades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$ 375/month applicable only to data recipients that receive NYSE Arca BBO and/or NYSE Arca Trades from an approved Redistributor of Managed Non-Display Services, operative January 1, 2015. Currently, data recipients are required to pay an Access Fee of $ 750/month to receive NYSE Arca BBO and/or NYSE Arca Trades, which has not been charged to data recipients of Managed Non-Display Services of NYSE Arca BBO or NYSE Arca Trades. The Exchange charges a single Access Fee for clients receiving both NYSE Arca BBO and NYSE Arca Trades. Because the purpose of an access fee is to charge data recipients for access to the Exchange's proprietary market data, the Exchange believes it is appropriate to charge an access fee to all data recipients, including recipients of Managed Non-Display Services. n11 In recognition that data recipients of Managed Non-Display Services receive NYSE Arca BBO and NYSE Arca Trades in a controlled format, the Exchange proposes to establish an Access Fee that would be applicable only to data recipients of Managed Non-Display Services and that would be half the size of the current Access Fee. As with the existing Access Fee, the Exchange would charge a single Access Fee for Managed Non-Display Services for clients of both NYSE Arca BBO and NYSE Arca Trades. In connection with this change, the Exchange also proposes to amend the Fee Schedule to specify that the current Access Fee of $ 750/month is charged to data recipients other than those receiving data through Managed Non-Display Services. The proposed Managed Non-Display Access Fee would be in addition to the current Managed Non-Display Services Fee of $ 200/month for NYSE Arca BBO and $ 800/month for NYSE Arca Trades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order to harmonize its approach to fees for its market data products, the Exchange is proposing to establish access fees for Managed Non-Display Services for NYSE ArcaBook and NYSE Arca Integrated Feed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n12 in general, and Sections 6(b)(4) and 6(b)(5) of the Act, n13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 [*1551]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retire the Unit-of-Count Policy. First, as evidenced by the low number of eligible subscribers, the Unit-of-Count Policy is not currently considered useful to market data recipients as a method for counting users. In addition, as the Exchange noted in the 2013 Non-Display Filing, n14 the Exchange determined at that time that its fee structure, which was based primarily on counting devices, both display and non-display, and included the Unit-of-Count Policy, was no longer appropriate in light of market and technology developments. In addition to implementing the non-display pricing to address the difficulties of counting non-display devices, and to reflect the value of non-display data to customers, the Exchange noted that it anticipated implementing a new display use fee structure later. Retiring the Unit-of-Count Policy, which now applies only to display use, would allow the Exchange to apply a consistent method for counting users among all customers using NYSE Arca BBO or NYSE Arca Trades, whether on a display or non-display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 NASDAQ and Phlx also both offer managed non-display data solutions and charge access fees for such services. n16 The fees are also equitable and not unfairly discriminatory because they would apply to all data recipients that choose to subscribe to Managed Non-Display Services for NYSE Arca BBO or NYSE Arca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7"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BBO and NYSE Arca Trades are entirely optional. The Exchange is not required to make NYSE Arca BBO and NYSE Arca Trades available or to offer any specific pricing alternatives to any customers, nor is any firm required to purchase NYSE Arca BBO or NYSE Arca Trades. Firms that do purchase NYSE Arca BBO or NYSE Arca Trades do so for the primary goals of using the products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BBO or NYSE Arca Trades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Arca BBO or NYSE Arca Trades at the new prices have a variety of alternative market data products from which to choose, n17 or if NYSE Arca BBO or NYSE Arca Trades do not provide sufficient value to firms as offered based on the uses those firms have or planned to make of the products, such firms may simply choose to conduct their business operations in ways that do not use NYSE Arca BBO or NYSE Arca Trades. The Exchange notes that broker-dealers are not required to purchase proprietary market data to comply with their best execution obligations. n18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0"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2"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3"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n23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Concept Release on Equity Market Structure, Securities Exchange Act Release No. 61358 (Jan. 14, 2010), </w:t>
      </w:r>
      <w:hyperlink r:id="rId25"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5"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BBO or NYSE Arca Trades unless their customers request it, and customers will not elect to pay the proposed fees unless NYSE Arca BBO or NYSE Arca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w:t>
      </w:r>
      <w:r>
        <w:rPr>
          <w:rFonts w:ascii="arial" w:eastAsia="arial" w:hAnsi="arial" w:cs="arial"/>
          <w:b/>
          <w:i w:val="0"/>
          <w:strike w:val="0"/>
          <w:noProof w:val="0"/>
          <w:color w:val="000000"/>
          <w:position w:val="0"/>
          <w:sz w:val="20"/>
          <w:u w:val="none"/>
          <w:vertAlign w:val="baseline"/>
        </w:rPr>
        <w:t> [*1553] </w:t>
      </w:r>
      <w:r>
        <w:rPr>
          <w:rFonts w:ascii="arial" w:eastAsia="arial" w:hAnsi="arial" w:cs="arial"/>
          <w:b w:val="0"/>
          <w:i w:val="0"/>
          <w:strike w:val="0"/>
          <w:noProof w:val="0"/>
          <w:color w:val="000000"/>
          <w:position w:val="0"/>
          <w:sz w:val="20"/>
          <w:u w:val="none"/>
          <w:vertAlign w:val="baseline"/>
        </w:rPr>
        <w:t xml:space="preserve">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Arca and the Exchange's affiliates NYSE and NYSE MKT LLC ("NYSE MKT") was executed by market participants that purchased one or more proprietary market data products (the 20 firms were not the same for each market).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n25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7"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8"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9"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n28 Similarly, LavaFlow ECN provides market data to its subscribers at no charge.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"LavaFlow--ADF Migration," available at </w:t>
      </w:r>
      <w:hyperlink r:id="rId30"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w:t>
      </w:r>
      <w:r>
        <w:rPr>
          <w:rFonts w:ascii="arial" w:eastAsia="arial" w:hAnsi="arial" w:cs="arial"/>
          <w:b/>
          <w:i w:val="0"/>
          <w:strike w:val="0"/>
          <w:noProof w:val="0"/>
          <w:color w:val="000000"/>
          <w:position w:val="0"/>
          <w:sz w:val="20"/>
          <w:u w:val="none"/>
          <w:vertAlign w:val="baseline"/>
        </w:rPr>
        <w:t> [*1554] </w:t>
      </w:r>
      <w:r>
        <w:rPr>
          <w:rFonts w:ascii="arial" w:eastAsia="arial" w:hAnsi="arial" w:cs="arial"/>
          <w:b w:val="0"/>
          <w:i w:val="0"/>
          <w:strike w:val="0"/>
          <w:noProof w:val="0"/>
          <w:color w:val="000000"/>
          <w:position w:val="0"/>
          <w:sz w:val="20"/>
          <w:u w:val="none"/>
          <w:vertAlign w:val="baseline"/>
        </w:rPr>
        <w:t xml:space="preserve"> actual number of orders and transaction reports that exist in the marketplace. With respect to NYSE Arca BBO and NYSE Arca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n30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SR-NYSEARCA-2014-148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SR-NYSEARCA-2014-148. This file number should be included on the subject line if email is used. To help the Commission process and review your comments more efficiently, please use only one method. The Commission will post all comments on the Commission's Internet Web site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SR-NYSEARCA-2014-148 and should be submitted on or before February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2015-00217 Filed 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1549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4VV2-RND0-006W-82HV-00000-00&amp;context=" TargetMode="External" /><Relationship Id="rId13" Type="http://schemas.openxmlformats.org/officeDocument/2006/relationships/hyperlink" Target="https://advance.lexis.com/api/document?collection=administrative-codes&amp;id=urn:contentItem:502G-30S0-006W-83D6-00000-00&amp;context=" TargetMode="External" /><Relationship Id="rId14" Type="http://schemas.openxmlformats.org/officeDocument/2006/relationships/hyperlink" Target="https://advance.lexis.com/api/document?collection=administrative-codes&amp;id=urn:contentItem:51GS-M6N0-006W-84G8-00000-00&amp;context=" TargetMode="External" /><Relationship Id="rId15" Type="http://schemas.openxmlformats.org/officeDocument/2006/relationships/hyperlink" Target="https://advance.lexis.com/api/document?collection=administrative-codes&amp;id=urn:contentItem:585J-J500-006W-84DC-00000-00&amp;context=" TargetMode="External" /><Relationship Id="rId16" Type="http://schemas.openxmlformats.org/officeDocument/2006/relationships/hyperlink" Target="https://advance.lexis.com/api/document?collection=administrative-codes&amp;id=urn:contentItem:5D41-YDV0-006W-83CB-00000-00&amp;context=" TargetMode="External" /><Relationship Id="rId17" Type="http://schemas.openxmlformats.org/officeDocument/2006/relationships/hyperlink" Target="https://advance.lexis.com/api/document?collection=administrative-codes&amp;id=urn:contentItem:59PF-BJS0-006W-8009-00000-00&amp;context=" TargetMode="External" /><Relationship Id="rId18" Type="http://schemas.openxmlformats.org/officeDocument/2006/relationships/hyperlink" Target="https://advance.lexis.com/api/document?collection=administrative-codes&amp;id=urn:contentItem:5825-3C80-006W-82F2-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www.goldmansachs.com/media-relations/in-the-news/current/pdf-media/gsec-order-handling-practices-ats-specific.pdf" TargetMode="External" /><Relationship Id="rId21" Type="http://schemas.openxmlformats.org/officeDocument/2006/relationships/hyperlink" Target="http://www.iextrading.com/about/" TargetMode="External" /><Relationship Id="rId22" Type="http://schemas.openxmlformats.org/officeDocument/2006/relationships/hyperlink" Target="https://advance.lexis.com/api/document?collection=cases&amp;id=urn:contentItem:803V-DT30-YB0V-T01B-00000-00&amp;context=" TargetMode="External" /><Relationship Id="rId23" Type="http://schemas.openxmlformats.org/officeDocument/2006/relationships/hyperlink" Target="http://www.sec.gov/rules/concept/s72899/buck1.htm" TargetMode="External" /><Relationship Id="rId24" Type="http://schemas.openxmlformats.org/officeDocument/2006/relationships/hyperlink" Target="http://www.justice.gov/iso/opa/atr/speeches/2011/at-speech-110516.html" TargetMode="External" /><Relationship Id="rId25" Type="http://schemas.openxmlformats.org/officeDocument/2006/relationships/hyperlink" Target="https://advance.lexis.com/api/document?collection=administrative-codes&amp;id=urn:contentItem:4Y6T-4FW0-006W-80SB-00000-00&amp;context=" TargetMode="External" /><Relationship Id="rId26" Type="http://schemas.openxmlformats.org/officeDocument/2006/relationships/hyperlink" Target="https://www.arcavision.com/Arcavision/arcalogin.jsp" TargetMode="External" /><Relationship Id="rId27" Type="http://schemas.openxmlformats.org/officeDocument/2006/relationships/hyperlink" Target="https://advance.lexis.com/api/document?collection=administrative-codes&amp;id=urn:contentItem:5C6V-V6N0-006W-80W6-00000-00&amp;context=" TargetMode="External" /><Relationship Id="rId28" Type="http://schemas.openxmlformats.org/officeDocument/2006/relationships/hyperlink" Target="https://advance.lexis.com/api/document?collection=administrative-codes&amp;id=urn:contentItem:512C-NGP0-006W-82VF-00000-00&amp;context=" TargetMode="External" /><Relationship Id="rId29" Type="http://schemas.openxmlformats.org/officeDocument/2006/relationships/hyperlink" Target="https://advance.lexis.com/api/document?collection=administrative-codes&amp;id=urn:contentItem:512C-NGP0-006W-82VH-00000-00&amp;context=" TargetMode="External" /><Relationship Id="rId3" Type="http://schemas.openxmlformats.org/officeDocument/2006/relationships/fontTable" Target="fontTable.xml" /><Relationship Id="rId30" Type="http://schemas.openxmlformats.org/officeDocument/2006/relationships/hyperlink" Target="https://www.lavatrading.com/news/pdf/LavaFlow_ADF_Migration.pdf" TargetMode="External" /><Relationship Id="rId31" Type="http://schemas.openxmlformats.org/officeDocument/2006/relationships/hyperlink" Target="http://www.sec.gov/rules/sro.shtml" TargetMode="External" /><Relationship Id="rId32" Type="http://schemas.openxmlformats.org/officeDocument/2006/relationships/hyperlink" Target="mailto:rule-comments@sec.gov" TargetMode="External" /><Relationship Id="rId33" Type="http://schemas.openxmlformats.org/officeDocument/2006/relationships/hyperlink" Target="https://advance.lexis.com/api/document?collection=administrative-codes&amp;id=urn:contentItem:5SPP-2120-008G-Y2ND-00000-00&amp;context="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7-YGX0-006W-84SJ-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