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007, Monday, January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Order Imbalances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34-73995; File No. SR-NYSEMKT-2014-114]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23, 2014, NYSE MKT LLC ("NYSE MKT" or the "Exchange") filed with the Securities and Exchange Commission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Order Imbalances to establish eligibility requirements for redistribution on a managed non-display basis and an access fee for managed non-display data recipients, operative on January 1, 2015.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self-regulatory organization included </w:t>
      </w:r>
      <w:r>
        <w:rPr>
          <w:rFonts w:ascii="arial" w:eastAsia="arial" w:hAnsi="arial" w:cs="arial"/>
          <w:b/>
          <w:i w:val="0"/>
          <w:strike w:val="0"/>
          <w:noProof w:val="0"/>
          <w:color w:val="000000"/>
          <w:position w:val="0"/>
          <w:sz w:val="20"/>
          <w:u w:val="none"/>
          <w:vertAlign w:val="baseline"/>
        </w:rPr>
        <w:t> [*1561] </w:t>
      </w:r>
      <w:r>
        <w:rPr>
          <w:rFonts w:ascii="arial" w:eastAsia="arial" w:hAnsi="arial" w:cs="arial"/>
          <w:b w:val="0"/>
          <w:i w:val="0"/>
          <w:strike w:val="0"/>
          <w:noProof w:val="0"/>
          <w:color w:val="000000"/>
          <w:position w:val="0"/>
          <w:sz w:val="20"/>
          <w:u w:val="none"/>
          <w:vertAlign w:val="baseline"/>
        </w:rPr>
        <w:t xml:space="preserve">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eligibility requirements for redistribution of NYSE MKT Order Imbalances on a managed non-display basis and to establish an access fee for managed non-display data recipients of NYSE MKT Order Imbalances, operative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MKT market data means accessing, processing, or consuming NYSE MKT market data delivered via direct and/or Redistributor n3 data feeds for a purpose other than in support of a data recipient's display or further internal or external redistribution. A Redistributor approved for Managed Non-Display Services manages and controls the access to NYSE MKT Order Imbalances and does not allow for further internal distribution or external redistribution of NYSE MKT Order Imbalances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"Redistributor" means a vendor or any other person that provides an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MKT Order Imbalances through the Redistributor's Managed Non-Display Service. A data recipient receiving NYSE MKT Order Imbalances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Exchange's Unit-of-Count policy. n4 The Exchange is proposing to retire the Unit-of-Count Policy, n5 and as a result, eligibility for Managed Non-Display Services of NYSE MKT Order Imbalances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MKT Order Imbalances from an approved Redistributor of Managed Non-Display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61936 (Apr. 16, 2010), </w:t>
      </w:r>
      <w:hyperlink r:id="rId11" w:history="1">
        <w:r>
          <w:rPr>
            <w:rFonts w:ascii="arial" w:eastAsia="arial" w:hAnsi="arial" w:cs="arial"/>
            <w:b w:val="0"/>
            <w:i/>
            <w:strike w:val="0"/>
            <w:noProof w:val="0"/>
            <w:color w:val="0077CC"/>
            <w:position w:val="0"/>
            <w:sz w:val="20"/>
            <w:u w:val="single"/>
            <w:vertAlign w:val="baseline"/>
          </w:rPr>
          <w:t>75 FR 21088</w:t>
        </w:r>
      </w:hyperlink>
      <w:r>
        <w:rPr>
          <w:rFonts w:ascii="arial" w:eastAsia="arial" w:hAnsi="arial" w:cs="arial"/>
          <w:b w:val="0"/>
          <w:i w:val="0"/>
          <w:strike w:val="0"/>
          <w:noProof w:val="0"/>
          <w:color w:val="000000"/>
          <w:position w:val="0"/>
          <w:sz w:val="20"/>
          <w:u w:val="none"/>
          <w:vertAlign w:val="baseline"/>
        </w:rPr>
        <w:t xml:space="preserve"> (Apr. 22, 2010)(SR-NYSEAmex-2010-30 (notice) and 62187 (May 27, 2010), </w:t>
      </w:r>
      <w:hyperlink r:id="rId12" w:history="1">
        <w:r>
          <w:rPr>
            <w:rFonts w:ascii="arial" w:eastAsia="arial" w:hAnsi="arial" w:cs="arial"/>
            <w:b w:val="0"/>
            <w:i/>
            <w:strike w:val="0"/>
            <w:noProof w:val="0"/>
            <w:color w:val="0077CC"/>
            <w:position w:val="0"/>
            <w:sz w:val="20"/>
            <w:u w:val="single"/>
            <w:vertAlign w:val="baseline"/>
          </w:rPr>
          <w:t>75 FR 31500</w:t>
        </w:r>
      </w:hyperlink>
      <w:r>
        <w:rPr>
          <w:rFonts w:ascii="arial" w:eastAsia="arial" w:hAnsi="arial" w:cs="arial"/>
          <w:b w:val="0"/>
          <w:i w:val="0"/>
          <w:strike w:val="0"/>
          <w:noProof w:val="0"/>
          <w:color w:val="000000"/>
          <w:position w:val="0"/>
          <w:sz w:val="20"/>
          <w:u w:val="none"/>
          <w:vertAlign w:val="baseline"/>
        </w:rPr>
        <w:t xml:space="preserve"> (June 2, 2014) (SR-NYSEAmex-2010-35) (approval order) (Unit-of-Count Policy filing).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(Apr. 9, 2013) (SR-NYSEMKT-2013-32) and 72020 (Sept. 9, 2014), </w:t>
      </w:r>
      <w:hyperlink r:id="rId13"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(SR-NYSEMKT-2014-72) (establishing fees for non-display use of NYSE MKT Order Imbalances). The Unit-of-Count Policy currently applies to NYSE MKT OpenBook, NYSE MKT Trades and NYSE MKT BBO as a method for counting Users. For NYSE MKT Order Imbalances, the Policy sets the criteria for eligibility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Exchange has separately proposed to retire the Unit-of-Count Policy and modify the eligibility requirements for Managed Non-Display Services for all of its proprietary market data products, including NYSE MKT Order Imbalances, and thereby harmonize the eligibility requirements for all NYSE MKT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SR-NYSEMKT-2014-113 (amending fees for NYSE MKT OpenBook) and SR-NYSEMKT-2014-115 (amending fees for NYSE MKT BBO and NYSE MKT Trades) (collectively, "NYSE MKT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MKT Order Imbalances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MKT Order Imbalances in the Redistributor's own messaging formats (rather than using raw NYSE message formats) by reformatting and/or altering NYSE MKT Order Imbalances prior to retransmission without affecting the integrity of NYSE MKT Order Imbalances and without rendering NYSE MKT Order Imbalances inaccurate, unfair, uninformative, fictitious, misleading or discriminatory. The proposed eligibility requirements are similar to data distribution models currently in use and align the Exchange with other markets.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4"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5"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MKT Order Imbalances through the Redistributor's Managed Non-Display Service. A data recipient receiving NYSE MKT Order Imbalances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proposes to adopt an Access Fee of $ 250/month applicable only to data recipients that receive NYSE MKT Order Imbalances from an approved Redistributor of Managed Non-Display Services, operative January 1, 2015. Currently, all data recipients, including recipients of Managed Non-Display Services, are required to pay an Access Fee of $ 500/month to receive NYSE MKT Order Imbalances. Because the purpose of an access fee is to charge data recipients for access to the Exchange's proprietary market data, the Exchange believes it is appropriate to charge an access fee to all data recipients. n7 In recognition that data recipients of Managed Non-Display Services receive NYSE MKT Order Imbalances in a controlled format, the Exchange proposes to reduce the Access Fee by half for those data recipients that only receive Managed Non-Display Services for NYSE MKT Order Imbalances. In connection with this change, the Exchange also proposes to amend the NYSE MKT LLC Equities Proprietary Market Data Fees Schedule to specify that the current Access Fee of $ 500/month is charged to data recipients other than those receiving data through Managed Non-Display Services. The proposed Managed Non- </w:t>
      </w:r>
      <w:r>
        <w:rPr>
          <w:rFonts w:ascii="arial" w:eastAsia="arial" w:hAnsi="arial" w:cs="arial"/>
          <w:b/>
          <w:i w:val="0"/>
          <w:strike w:val="0"/>
          <w:noProof w:val="0"/>
          <w:color w:val="000000"/>
          <w:position w:val="0"/>
          <w:sz w:val="20"/>
          <w:u w:val="none"/>
          <w:vertAlign w:val="baseline"/>
        </w:rPr>
        <w:t> [*1562] </w:t>
      </w:r>
      <w:r>
        <w:rPr>
          <w:rFonts w:ascii="arial" w:eastAsia="arial" w:hAnsi="arial" w:cs="arial"/>
          <w:b w:val="0"/>
          <w:i w:val="0"/>
          <w:strike w:val="0"/>
          <w:noProof w:val="0"/>
          <w:color w:val="000000"/>
          <w:position w:val="0"/>
          <w:sz w:val="20"/>
          <w:u w:val="none"/>
          <w:vertAlign w:val="baseline"/>
        </w:rPr>
        <w:t xml:space="preserve"> Display Access Fee would be in addition to the current Managed Non-Display Services Fee of $ 100/month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order to harmonize its approach to fees for its market data products, the Exchange is proposing to establish access fees for Managed Non-Display Services for NYSE MKT OpenBook, NYSE MKT BBO, and NYSE MKT Trades that is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and technology developments. NASDAQ and Phlx also both offer managed non-display data solutions and charge access fees for such services. n11 The fee is also equitable and not unfairly discriminatory because it would apply to all data recipients that choose to subscribe to Managed Non-Display Services for NYSE MKT Order Imbalances.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4"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Order Imbalances is entirely optional. The Exchange is not required to make NYSE MKT Order Imbalances available or to offer any specific pricing alternatives to any customers, nor is any firm required to purchase NYSE MKT Order Imbalances. Firms that do purchase NYSE MKT Order Imbalances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Order Imbalances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broker-dealers are not required to purchase proprietary market data to comply with their best execution obligations. n12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alternative trading systems ("ATSs") have chosen not to do so. n13 Firms that do not wish to purchase NYSE MKT Order Imbalances at the new price can choose similar alternative products, n14 or can choose to conduct their business operations in ways that do not use NYSE MKT Order Imbalances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17"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LavaFlow ECN.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Exchange believes that the proposed fees are reasonable, equitable, and not unfairly discriminatory. </w:t>
      </w:r>
      <w:r>
        <w:rPr>
          <w:rFonts w:ascii="arial" w:eastAsia="arial" w:hAnsi="arial" w:cs="arial"/>
          <w:b/>
          <w:i w:val="0"/>
          <w:strike w:val="0"/>
          <w:noProof w:val="0"/>
          <w:color w:val="000000"/>
          <w:position w:val="0"/>
          <w:sz w:val="20"/>
          <w:u w:val="none"/>
          <w:vertAlign w:val="baseline"/>
        </w:rPr>
        <w:t> [*1563]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Press Release, U.S. Department of Justice, Assistant Attorney General Christine Varney Holds Conference Call Regarding NASDAQ OMX Group Inc. and IntercontinentalExchange Inc. Abandoning Their Bid for NYSE Euronext (May 16, 2011), available at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n18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Order Imbalances unless their customers request it, and customers will not elect to pay the proposed fees unless NYSE MKT Order Imbalances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their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MKT, and the </w:t>
      </w:r>
      <w:r>
        <w:rPr>
          <w:rFonts w:ascii="arial" w:eastAsia="arial" w:hAnsi="arial" w:cs="arial"/>
          <w:b/>
          <w:i w:val="0"/>
          <w:strike w:val="0"/>
          <w:noProof w:val="0"/>
          <w:color w:val="000000"/>
          <w:position w:val="0"/>
          <w:sz w:val="20"/>
          <w:u w:val="none"/>
          <w:vertAlign w:val="baseline"/>
        </w:rPr>
        <w:t> [*1564] </w:t>
      </w:r>
      <w:r>
        <w:rPr>
          <w:rFonts w:ascii="arial" w:eastAsia="arial" w:hAnsi="arial" w:cs="arial"/>
          <w:b w:val="0"/>
          <w:i w:val="0"/>
          <w:strike w:val="0"/>
          <w:noProof w:val="0"/>
          <w:color w:val="000000"/>
          <w:position w:val="0"/>
          <w:sz w:val="20"/>
          <w:u w:val="none"/>
          <w:vertAlign w:val="baseline"/>
        </w:rPr>
        <w:t xml:space="preserve"> NYSE's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n20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n23 Similarly, LavaFlow ECN provides market data to its subscribers at no charge. n24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27"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Order Imbalances,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similar data. n25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 and indeed in the fact that the changes here have the effect of lowering the price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w:t>
      </w:r>
      <w:r>
        <w:rPr>
          <w:rFonts w:ascii="arial" w:eastAsia="arial" w:hAnsi="arial" w:cs="arial"/>
          <w:b/>
          <w:i w:val="0"/>
          <w:strike w:val="0"/>
          <w:noProof w:val="0"/>
          <w:color w:val="000000"/>
          <w:position w:val="0"/>
          <w:sz w:val="20"/>
          <w:u w:val="none"/>
          <w:vertAlign w:val="baseline"/>
        </w:rPr>
        <w:t> [*1565] </w:t>
      </w:r>
      <w:r>
        <w:rPr>
          <w:rFonts w:ascii="arial" w:eastAsia="arial" w:hAnsi="arial" w:cs="arial"/>
          <w:b w:val="0"/>
          <w:i w:val="0"/>
          <w:strike w:val="0"/>
          <w:noProof w:val="0"/>
          <w:color w:val="000000"/>
          <w:position w:val="0"/>
          <w:sz w:val="20"/>
          <w:u w:val="none"/>
          <w:vertAlign w:val="baseline"/>
        </w:rPr>
        <w:t xml:space="preserve">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n27 and paragraph (f)(2) of Rule 19b-4 thereunder. n28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SR-NYSEMKT-2014-114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SR-NYSEMKT-2014-114.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NYSE MKT. All comments received will be posted without change; the Commission does not edit personal identifying information from submissions. You should submit only information that you wish to make available publicly. All submissions should refer to File Number SR-NYSEMKT-2014-114 and should be submitted on or before February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2015-00214 Filed 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www.nyse.com" TargetMode="External" /><Relationship Id="rId11" Type="http://schemas.openxmlformats.org/officeDocument/2006/relationships/hyperlink" Target="https://advance.lexis.com/api/document?collection=administrative-codes&amp;id=urn:contentItem:4YX6-26G0-006W-80S2-00000-00&amp;context=" TargetMode="External" /><Relationship Id="rId12" Type="http://schemas.openxmlformats.org/officeDocument/2006/relationships/hyperlink" Target="https://advance.lexis.com/api/document?collection=administrative-codes&amp;id=urn:contentItem:5074-YWG0-006W-80RD-00000-00&amp;context=" TargetMode="External" /><Relationship Id="rId13" Type="http://schemas.openxmlformats.org/officeDocument/2006/relationships/hyperlink" Target="https://advance.lexis.com/api/document?collection=administrative-codes&amp;id=urn:contentItem:5D4W-7300-006W-83PP-00000-00&amp;context=" TargetMode="External" /><Relationship Id="rId14" Type="http://schemas.openxmlformats.org/officeDocument/2006/relationships/hyperlink" Target="https://advance.lexis.com/api/document?collection=administrative-codes&amp;id=urn:contentItem:59PF-BJS0-006W-8009-00000-00&amp;context=" TargetMode="External" /><Relationship Id="rId15" Type="http://schemas.openxmlformats.org/officeDocument/2006/relationships/hyperlink" Target="https://advance.lexis.com/api/document?collection=administrative-codes&amp;id=urn:contentItem:5825-3C80-006W-82F2-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www.goldmansachs.com/media-relations/in-the-news/current/pdf-media/gsec-order-handling-practices-ats-specific.pdf" TargetMode="External" /><Relationship Id="rId18" Type="http://schemas.openxmlformats.org/officeDocument/2006/relationships/hyperlink" Target="http://www.iextrading.com/about/"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s://www.lavatrading.com/news/pdf/LavaFlow_ADF_Migration.pdf"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7-YGX0-006W-84SN-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