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15768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057, Wednesday, March 25,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15768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March 25,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Ready-To-Learn Television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Ready-to-Learn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84.295A.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Ready-to-Learn Television Program (Ready-to-Learn) is designed to: (1) Facilitate school readiness and academic achievement by supporting the development and national distribution of educational television and interactive media programming for preschool and elementary school children and their parents; (2) develop and disseminate educational outreach materials and programs that are designed to deepen and extend the effectiveness of the educational television and interactive media and (3) build social and virtual communities of parents, educators, and children devoted to using the media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Ready-to-Learn aims to take advantage of common mass media consumer technologies in order to reach children in low-income homes who may be lacking in educationally-rich learning opportunities and make it easier for parents, caregivers, and early learning providers to find trustworthy materials that they can use with the children in their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Ready-to-Learn accomplishes this by using Federal dollars to stimulate the creation of educational media content that meets the highest standards of educational quality, while aiming to be just as entertaining as the best commercially produced media programs. Ready-to-Learn is not meant to be a mere subsidy to enable media producers to create educational content that would not otherwise be commercially feasible for them to produce. Rather, Ready-to-Learn seeks to bring educators and media producers together in cooperative working relationships that would not otherwise be possible, while also using the Federal investment to leverage additional contributions in funding, talent,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succeed, media producers generally must depart from their typical ways of working and embrace the contributions of educators and other education experts. Experts in subject matter and pedagogy, instructional designers, formative researchers, and other educators will work side by side and on equal footing with creative and media production experts in areas such as storytelling and interactive gameplay in order to merge their contributions into a unified and integrated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the 2010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which Ready-to-Learn supported the development of educational "transmedia," we are again looking to create new, interrelated combinations of television and interactive media in which characters, narrative story lines, and problem-solving are used to connect the various media products. In order to make this work, producers may need to plan how their different products will work together to execute a cohesive strategy, and then build a production model accordingly. Furthermore, producers may need to think carefully about how the eventual distribution of the products will be sequenced and organized to ensure that users will experience them in a manner that reflects this cohesiveness.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Striking the right balance between innovation and access is key. Technologies are constantly changing, and with them come new opportunities for improving young children's learning. Ready-to-Learn seeks to take advantage of the best educational uses of each medium and explore how best to combine both emerging and older media platforms to reach young children and their caregivers. With emerging technologies, it is important, however, to keep in mind what is available to low-income users in their homes or communities and what is accessible to a wide range of users, particularly those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television programming created under Ready-to-Learn has generally been made accessible to users who have hearing or vision loss through captioning and video description, some of the transmedia created to accompany these programs has lacked meaningful </w:t>
      </w:r>
      <w:r>
        <w:rPr>
          <w:rFonts w:ascii="arial" w:eastAsia="arial" w:hAnsi="arial" w:cs="arial"/>
          <w:b/>
          <w:i w:val="0"/>
          <w:strike w:val="0"/>
          <w:noProof w:val="0"/>
          <w:color w:val="000000"/>
          <w:position w:val="0"/>
          <w:sz w:val="20"/>
          <w:u w:val="none"/>
          <w:vertAlign w:val="baseline"/>
        </w:rPr>
        <w:t> [*15769] </w:t>
      </w:r>
      <w:r>
        <w:rPr>
          <w:rFonts w:ascii="arial" w:eastAsia="arial" w:hAnsi="arial" w:cs="arial"/>
          <w:b w:val="0"/>
          <w:i w:val="0"/>
          <w:strike w:val="0"/>
          <w:noProof w:val="0"/>
          <w:color w:val="000000"/>
          <w:position w:val="0"/>
          <w:sz w:val="20"/>
          <w:u w:val="none"/>
          <w:vertAlign w:val="baseline"/>
        </w:rPr>
        <w:t xml:space="preserve"> accessibility features for users with disabilities. Products produced by projects funded through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accessible both for purposes of complying with Section 504 of the Rehabilitation Act and to ensure that the needs of all users, including those with disabilities, are addressed. In meeting the requirement to reach the "widest possible audience" set out in section 2431(a)(1)(D) of the Elementary and Secondary Education Act of 1965 (ESEA), applicants are expected to include the accommodations needed to provide accessibility to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distribution has been an issue. In the past, the Department has generally assumed that if Ready-to-Learn grantees created high-quality products, national distribution deals would follow--usually through the existing infrastructure of the public television system. But the range of media available to producers has expanded beyond broadcast or cable television and Web sites to include national video streaming companies, applications for tablets and smartphones, game platforms, social media, and other technologies. Contemporary users also desire the ability to move freely between these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are encouraging applicants to consider and plan for distribution much earlier in the life of their proposed projects, and to directly partner with those broadcasters, streamers, game companies, publishers, or others that will be integral to ensure that the media is accessible to all users and will reflect both the creative and educational vision that went into its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Ready-to-Learn has also required grantees to develop and implement outreach programs in culturally diverse local communities. This year, we continue this focus by encouraging applicants to partner with both local and national organizations that promote wider use of the educational media materials in homes, daycare facilities, museums and libraries, and a variety of other informal learning and school-based settings. We therefore encourage the creation of supplemental materials for teachers, parents, and caregivers to use in these settings. We also encourage the development of both local and virtual user communities to share information, model effective practices, and promote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this process, conducting research is essential in at least two ways: First, when formative research is conducted in coordination with the production teams, it can help to ensure that learners are responding appropriately to design elements such as user interfaces, visual cues, programmed feedback, and more. Second, research can be used to determine the effectiveness of the media products in helping young children learn or improve their school readiness. Because of the importance of research to the success of projects, Ready-to-Learn encourages applicants to enlist independent researchers to conduct one or more rigorous effectiveness studies that will meet the What Works Clearinghouse Evidence Standards (as defined in this notice). Such studies should examine the effectiveness of the proposed combination of television and other interactive media to improve science or literacy learning outcomes and to improve school readiness, when used by children in the proposed home or informal learning. Studies should also compare the learning and school readiness outcomes of children using products supported by Ready-to-Learn to the outcomes of children using other similar educational media or non-media-based learning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forth in section 2431 of the ESEA, to be eligible to receive a cooperative agreement under Ready-to-Learn, an applicant must propose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Develop, produce, and distribute educational and instructional video programming for preschool and elementary school children and their parents in order to facilitate student academic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Facilitate the development, directly or through contracts with producers of children and family educational television programming, of educational programming for preschool and elementary school children, and the accompanying support materials and services that promote the effective use of such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Facilitate the development of programming and digital content containing Ready-to-Learn-based children's programming and resources for parents and caregivers that is specially designed for nationwide distribution over public television stations' digital broadcasting channels and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Contract with entities (such as public telecommunications entities) so that programs developed under this program are disseminated and distributed to the widest possible audience appropriate to be served by the programming, and through the use of the most appropriate distribution technologies;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Develop and disseminate education and training materials, including interactive programs and programs adaptable to distance learning technologies, that are designed--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 promote school readiness;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To promote the effective use of materials developed under paragraphs (2) and (3) among parents, teachers, Head Start providers, Even Start providers, providers of family literacy services, child care providers, early childhood development personnel, elementary school teachers, public libraries, and after-school program personnel caring for preschool and elementary school children.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As set forth in section 2431(d) of the ESEA, a recipient of a Ready-to-Learn Television cooperative agreement is authorized to use up to five percent of the amount received for the normal and customary expenses of administering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are particularly interested in applications that address one or both of the following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invitational priorities. Under </w:t>
      </w:r>
      <w:hyperlink r:id="rId8"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these invitational priorities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invites applications from eligible public telecommunications entities that have a demonstrated track record in high-quality educational television production for preschool or elementary school-aged children and demonstrated success in improving reading, math, or science skills for children ages two through eight. These entities are invited to collaborate, as needed, with early learning educators; professional media producers; national broadcasters, streaming companies, or other mass media distributors; learning game companies; formative researchers; and other relevant organizations to produce and nationally distribute high-quality, age-appropriate educational television and digital media content that focuses on science (including scientific thinking and skill development) or literacy. The media should target children ages two through eight (or subsets), particularly those from low-income families, for use in the home or in informal learning settings for the purposes of improving learning outcomes or school readiness. Applicants are encouraged to use both </w:t>
      </w:r>
      <w:r>
        <w:rPr>
          <w:rFonts w:ascii="arial" w:eastAsia="arial" w:hAnsi="arial" w:cs="arial"/>
          <w:b/>
          <w:i w:val="0"/>
          <w:strike w:val="0"/>
          <w:noProof w:val="0"/>
          <w:color w:val="000000"/>
          <w:position w:val="0"/>
          <w:sz w:val="20"/>
          <w:u w:val="none"/>
          <w:vertAlign w:val="baseline"/>
        </w:rPr>
        <w:t> [*15770] </w:t>
      </w:r>
      <w:r>
        <w:rPr>
          <w:rFonts w:ascii="arial" w:eastAsia="arial" w:hAnsi="arial" w:cs="arial"/>
          <w:b w:val="0"/>
          <w:i w:val="0"/>
          <w:strike w:val="0"/>
          <w:noProof w:val="0"/>
          <w:color w:val="000000"/>
          <w:position w:val="0"/>
          <w:sz w:val="20"/>
          <w:u w:val="none"/>
          <w:vertAlign w:val="baseline"/>
        </w:rPr>
        <w:t xml:space="preserve"> television and a variety of accessible digital media to explore new combinations of narrative storytelling and interactive learning, and whenever possible, to make these media available to consumers at no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invites applications from eligible public telecommunications entities that have a demonstrated track record in high-quality educational television production for preschool or elementary school aged children and demonstrated success in improving reading, math, or science skills for children ages two through eight. These entities are invited to create and nationally distribute new combinations of educational television and accessible interactive media for young children, ages two through eight (or subsets), particularly those from low-income families, that use analytics and embedded assessments, consistent with applicable privacy requirements, in order to (a) create personalized learning experiences that adapt as users progressively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or (b) provide useful and meaningful learning data to parents, caregivers, or educators.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media produced using Ready-to-Learn funds must comply with 16 CFR 312, the Children's Online Privacy Protection Rule, which protects children under the age of 13 from unfair or deceptive use of personal information. This rule can be found at: </w:t>
      </w:r>
      <w:hyperlink r:id="rId9" w:history="1">
        <w:r>
          <w:rPr>
            <w:rFonts w:ascii="arial" w:eastAsia="arial" w:hAnsi="arial" w:cs="arial"/>
            <w:b w:val="0"/>
            <w:i/>
            <w:strike w:val="0"/>
            <w:noProof w:val="0"/>
            <w:color w:val="0077CC"/>
            <w:position w:val="0"/>
            <w:sz w:val="20"/>
            <w:u w:val="single"/>
            <w:vertAlign w:val="baseline"/>
          </w:rPr>
          <w:t>www.ecfr.gov/cgi-bin/text-idx?SID=4939e77c77a1a1a08c1cbf905fc4b409&amp;node=16%3A1.0.1.3.36&amp;rgn=div5</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apply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definitions of "logic model," "strong theory," and "What Works Clearinghouse Evidence Standards" are from </w:t>
      </w:r>
      <w:hyperlink r:id="rId10"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The definition of "public telecommunications entity" is from </w:t>
      </w:r>
      <w:hyperlink r:id="rId11" w:history="1">
        <w:r>
          <w:rPr>
            <w:rFonts w:ascii="arial" w:eastAsia="arial" w:hAnsi="arial" w:cs="arial"/>
            <w:b w:val="0"/>
            <w:i/>
            <w:strike w:val="0"/>
            <w:noProof w:val="0"/>
            <w:color w:val="0077CC"/>
            <w:position w:val="0"/>
            <w:sz w:val="20"/>
            <w:u w:val="single"/>
            <w:vertAlign w:val="baseline"/>
          </w:rPr>
          <w:t>20 U.S.C. 7801(35)</w:t>
        </w:r>
      </w:hyperlink>
      <w:r>
        <w:rPr>
          <w:rFonts w:ascii="arial" w:eastAsia="arial" w:hAnsi="arial" w:cs="arial"/>
          <w:b w:val="0"/>
          <w:i w:val="0"/>
          <w:strike w:val="0"/>
          <w:noProof w:val="0"/>
          <w:color w:val="000000"/>
          <w:position w:val="0"/>
          <w:sz w:val="20"/>
          <w:u w:val="none"/>
          <w:vertAlign w:val="baseline"/>
        </w:rPr>
        <w:t xml:space="preserve">, which references </w:t>
      </w:r>
      <w:hyperlink r:id="rId12" w:history="1">
        <w:r>
          <w:rPr>
            <w:rFonts w:ascii="arial" w:eastAsia="arial" w:hAnsi="arial" w:cs="arial"/>
            <w:b w:val="0"/>
            <w:i/>
            <w:strike w:val="0"/>
            <w:noProof w:val="0"/>
            <w:color w:val="0077CC"/>
            <w:position w:val="0"/>
            <w:sz w:val="20"/>
            <w:u w:val="single"/>
            <w:vertAlign w:val="baseline"/>
          </w:rPr>
          <w:t>47 U.S.C. 397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developing logic models, applicants may want to use resources such as the Pacific Education Laboratory's Education Logic Model Application (</w:t>
      </w:r>
      <w:hyperlink r:id="rId13" w:history="1">
        <w:r>
          <w:rPr>
            <w:rFonts w:ascii="arial" w:eastAsia="arial" w:hAnsi="arial" w:cs="arial"/>
            <w:b w:val="0"/>
            <w:i/>
            <w:strike w:val="0"/>
            <w:noProof w:val="0"/>
            <w:color w:val="0077CC"/>
            <w:position w:val="0"/>
            <w:sz w:val="20"/>
            <w:u w:val="single"/>
            <w:vertAlign w:val="baseline"/>
          </w:rPr>
          <w:t>www.relpacific.mcrel.org/PERR.html</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http://files.eric.ed.gov/fulltext/ED544779.pdf</w:t>
        </w:r>
      </w:hyperlink>
      <w:r>
        <w:rPr>
          <w:rFonts w:ascii="arial" w:eastAsia="arial" w:hAnsi="arial" w:cs="arial"/>
          <w:b w:val="0"/>
          <w:i w:val="0"/>
          <w:strike w:val="0"/>
          <w:noProof w:val="0"/>
          <w:color w:val="000000"/>
          <w:position w:val="0"/>
          <w:sz w:val="20"/>
          <w:u w:val="none"/>
          <w:vertAlign w:val="baseline"/>
        </w:rPr>
        <w:t>) to help design their logic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telecommunications entity</w:t>
      </w:r>
      <w:r>
        <w:rPr>
          <w:rFonts w:ascii="arial" w:eastAsia="arial" w:hAnsi="arial" w:cs="arial"/>
          <w:b w:val="0"/>
          <w:i w:val="0"/>
          <w:strike w:val="0"/>
          <w:noProof w:val="0"/>
          <w:color w:val="000000"/>
          <w:position w:val="0"/>
          <w:sz w:val="20"/>
          <w:u w:val="none"/>
          <w:vertAlign w:val="baseline"/>
        </w:rPr>
        <w:t xml:space="preserve"> means any enterprise which (a) is a public broadcast station or a noncommercial telecommunications entity; and (b) disseminates public telecommunications services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5"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20 U.S.C. 6775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$ 25,621,000 for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$ 4,000,000-$ 12,000,000 for the first year of the project. Funding for the second, third, fourth, and fifth years is subject to availability of funds and the approval of continuation awards (see </w:t>
      </w:r>
      <w:hyperlink r:id="rId17"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$ 8,000,000 for the first year of the project; $ 40,000,000 over five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To receive a cooperative agreement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 entity must be a public telecommunications entity (as defined in this notice) that is able to demonstrate: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capacity to develop and nationally distribute educational and instructional television programming of high quality that is accessible by a large majority of disadvantaged preschool and elementary school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capacity to contract with the producers of children's television programming for the purpose of developing educational television programming of high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capacity, consistent with the entity's mission and nonprofit nature, to negotiate such contracts in a manner that returns to the entity an appropriate share of any ancillary income from sales of any program-related products;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capacity to localize programming and materials to meet specific State and local needs and to provide educational outreach at the local level.</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more than one public telecommunications entity wishes to form a consortium and jointly submit a single application, they must follow the procedures for group applications described in </w:t>
      </w:r>
      <w:hyperlink r:id="rId18" w:history="1">
        <w:r>
          <w:rPr>
            <w:rFonts w:ascii="arial" w:eastAsia="arial" w:hAnsi="arial" w:cs="arial"/>
            <w:b w:val="0"/>
            <w:i/>
            <w:strike w:val="0"/>
            <w:noProof w:val="0"/>
            <w:color w:val="0077CC"/>
            <w:position w:val="0"/>
            <w:sz w:val="20"/>
            <w:u w:val="single"/>
            <w:vertAlign w:val="baseline"/>
          </w:rPr>
          <w:t>34 CFR 75.127</w:t>
        </w:r>
      </w:hyperlink>
      <w:r>
        <w:rPr>
          <w:rFonts w:ascii="arial" w:eastAsia="arial" w:hAnsi="arial" w:cs="arial"/>
          <w:b w:val="0"/>
          <w:i w:val="0"/>
          <w:strike w:val="0"/>
          <w:noProof w:val="0"/>
          <w:color w:val="000000"/>
          <w:position w:val="0"/>
          <w:sz w:val="20"/>
          <w:u w:val="none"/>
          <w:vertAlign w:val="baseline"/>
        </w:rPr>
        <w:t xml:space="preserve"> through </w:t>
      </w:r>
      <w:hyperlink r:id="rId19" w:history="1">
        <w:r>
          <w:rPr>
            <w:rFonts w:ascii="arial" w:eastAsia="arial" w:hAnsi="arial" w:cs="arial"/>
            <w:b w:val="0"/>
            <w:i/>
            <w:strike w:val="0"/>
            <w:noProof w:val="0"/>
            <w:color w:val="0077CC"/>
            <w:position w:val="0"/>
            <w:sz w:val="20"/>
            <w:u w:val="single"/>
            <w:vertAlign w:val="baseline"/>
          </w:rPr>
          <w:t>75.129</w:t>
        </w:r>
      </w:hyperlink>
      <w:r>
        <w:rPr>
          <w:rFonts w:ascii="arial" w:eastAsia="arial" w:hAnsi="arial" w:cs="arial"/>
          <w:b w:val="0"/>
          <w:i w:val="0"/>
          <w:strike w:val="0"/>
          <w:noProof w:val="0"/>
          <w:color w:val="000000"/>
          <w:position w:val="0"/>
          <w:sz w:val="20"/>
          <w:u w:val="none"/>
          <w:vertAlign w:val="baseline"/>
        </w:rPr>
        <w:t xml:space="preserve"> of EDGAR.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from the Education Publications Center (ED Pubs), or from the program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20"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1"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2"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request an application from ED Pubs, be sure to identify this program as follows: CFDA number 84.295A.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from the program office, contact: Brian Lekander, U.S. Department of Education, 400 Maryland Avenue SW., Room 4C133, Washington, </w:t>
      </w:r>
      <w:r>
        <w:rPr>
          <w:rFonts w:ascii="arial" w:eastAsia="arial" w:hAnsi="arial" w:cs="arial"/>
          <w:b/>
          <w:i w:val="0"/>
          <w:strike w:val="0"/>
          <w:noProof w:val="0"/>
          <w:color w:val="000000"/>
          <w:position w:val="0"/>
          <w:sz w:val="20"/>
          <w:u w:val="none"/>
          <w:vertAlign w:val="baseline"/>
        </w:rPr>
        <w:t> [*15771] </w:t>
      </w:r>
      <w:r>
        <w:rPr>
          <w:rFonts w:ascii="arial" w:eastAsia="arial" w:hAnsi="arial" w:cs="arial"/>
          <w:b w:val="0"/>
          <w:i w:val="0"/>
          <w:strike w:val="0"/>
          <w:noProof w:val="0"/>
          <w:color w:val="000000"/>
          <w:position w:val="0"/>
          <w:sz w:val="20"/>
          <w:u w:val="none"/>
          <w:vertAlign w:val="baseline"/>
        </w:rPr>
        <w:t xml:space="preserve"> DC 20202-9830. Telephone: (202) 205-5633 or by email: </w:t>
      </w:r>
      <w:hyperlink r:id="rId23" w:history="1">
        <w:r>
          <w:rPr>
            <w:rFonts w:ascii="arial" w:eastAsia="arial" w:hAnsi="arial" w:cs="arial"/>
            <w:b w:val="0"/>
            <w:i/>
            <w:strike w:val="0"/>
            <w:noProof w:val="0"/>
            <w:color w:val="0077CC"/>
            <w:position w:val="0"/>
            <w:sz w:val="20"/>
            <w:u w:val="single"/>
            <w:vertAlign w:val="baseline"/>
          </w:rPr>
          <w:t>readytolearn@ed.gov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Apply:</w:t>
      </w:r>
      <w:r>
        <w:rPr>
          <w:rFonts w:ascii="arial" w:eastAsia="arial" w:hAnsi="arial" w:cs="arial"/>
          <w:b w:val="0"/>
          <w:i w:val="0"/>
          <w:strike w:val="0"/>
          <w:noProof w:val="0"/>
          <w:color w:val="000000"/>
          <w:position w:val="0"/>
          <w:sz w:val="20"/>
          <w:u w:val="none"/>
          <w:vertAlign w:val="baseline"/>
        </w:rPr>
        <w:t xml:space="preserve"> April 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able to develop a more efficient process for reviewing grant applications if we have a better understanding of the number of public telecommunications entities that intend to apply for funding under this program. Therefore, we strongly encourage each potential applicant to notify the Department by sending a short email message indicating the applicant's intent to submit an application for funding. The email should indicate the invitational priority or priorities to be addressed and the subject matter focus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science or literacy) of the application. The email should be addressed to </w:t>
      </w:r>
      <w:hyperlink r:id="rId23" w:history="1">
        <w:r>
          <w:rPr>
            <w:rFonts w:ascii="arial" w:eastAsia="arial" w:hAnsi="arial" w:cs="arial"/>
            <w:b w:val="0"/>
            <w:i/>
            <w:strike w:val="0"/>
            <w:noProof w:val="0"/>
            <w:color w:val="0077CC"/>
            <w:position w:val="0"/>
            <w:sz w:val="20"/>
            <w:u w:val="single"/>
            <w:vertAlign w:val="baseline"/>
          </w:rPr>
          <w:t>readytolearn@ed.gov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Applicants may also fill out a brief letter of intent to apply form on the Ready-to-Learn Web site. Applicants that do not provide this email notification or fill out the form may still apply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is where you, the applicant, address the selection criteria that reviewers use to evaluation your application. Applicants are strongly encouraged to limit the application narrative (Part III) to the equivalent of no more than 50 pages. Applicants are also strongly encouraged not to include lengthy appendices that contain information that they were unable to include within the page limits for the narrative. Applicants should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for the application does not apply to Part I, the cover sheet; Part II, the budget section, including the narrative budget justification; Part IV, the assurances and certifications; or the one-page abstract, the resumes, the bibliography, or the letters of support of the application. However, the page limit does apply to all of the application narrative section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Submit an Application:</w:t>
      </w:r>
      <w:r>
        <w:rPr>
          <w:rFonts w:ascii="arial" w:eastAsia="arial" w:hAnsi="arial" w:cs="arial"/>
          <w:b w:val="0"/>
          <w:i w:val="0"/>
          <w:strike w:val="0"/>
          <w:noProof w:val="0"/>
          <w:color w:val="000000"/>
          <w:position w:val="0"/>
          <w:sz w:val="20"/>
          <w:u w:val="none"/>
          <w:vertAlign w:val="baseline"/>
        </w:rPr>
        <w:t xml:space="preserve"> April 9, 2015.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The Department intends to hold a Webinar designed to provide technical assistance to those interested in applying for a Ready-to-Learn grant. Detailed information regarding this meeting will be provided on the Ready-to-Learn Web site at </w:t>
      </w:r>
      <w:hyperlink r:id="rId24" w:history="1">
        <w:r>
          <w:rPr>
            <w:rFonts w:ascii="arial" w:eastAsia="arial" w:hAnsi="arial" w:cs="arial"/>
            <w:b w:val="0"/>
            <w:i/>
            <w:strike w:val="0"/>
            <w:noProof w:val="0"/>
            <w:color w:val="0077CC"/>
            <w:position w:val="0"/>
            <w:sz w:val="20"/>
            <w:u w:val="single"/>
            <w:vertAlign w:val="baseline"/>
          </w:rPr>
          <w:t>http://www2.ed.gov/programs/rtltv/index.html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Application and Submission Information.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May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2-5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5"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t>
      </w:r>
      <w:r>
        <w:rPr>
          <w:rFonts w:ascii="arial" w:eastAsia="arial" w:hAnsi="arial" w:cs="arial"/>
          <w:b/>
          <w:i w:val="0"/>
          <w:strike w:val="0"/>
          <w:noProof w:val="0"/>
          <w:color w:val="000000"/>
          <w:position w:val="0"/>
          <w:sz w:val="20"/>
          <w:u w:val="none"/>
          <w:vertAlign w:val="baseline"/>
        </w:rPr>
        <w:t> [*15772] </w:t>
      </w:r>
      <w:r>
        <w:rPr>
          <w:rFonts w:ascii="arial" w:eastAsia="arial" w:hAnsi="arial" w:cs="arial"/>
          <w:b w:val="0"/>
          <w:i w:val="0"/>
          <w:strike w:val="0"/>
          <w:noProof w:val="0"/>
          <w:color w:val="000000"/>
          <w:position w:val="0"/>
          <w:sz w:val="20"/>
          <w:u w:val="none"/>
          <w:vertAlign w:val="baseline"/>
        </w:rPr>
        <w:t xml:space="preserve"> we have prepared a SAM.gov Tip Sheet, which you can find at: </w:t>
      </w:r>
      <w:hyperlink r:id="rId26"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7"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Ready-to-Learn Television Program, CFDA Number 84.295A, must be submitted electronically using the Governmentwide Grants.gov Apply site at </w:t>
      </w:r>
      <w:hyperlink r:id="rId2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and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Ready-to-Learn program at </w:t>
      </w:r>
      <w:hyperlink r:id="rId2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84.295, not 84.295A).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9" w:history="1">
        <w:r>
          <w:rPr>
            <w:rFonts w:ascii="arial" w:eastAsia="arial" w:hAnsi="arial" w:cs="arial"/>
            <w:b w:val="0"/>
            <w:i/>
            <w:strike w:val="0"/>
            <w:noProof w:val="0"/>
            <w:color w:val="0077CC"/>
            <w:position w:val="0"/>
            <w:sz w:val="20"/>
            <w:u w:val="single"/>
            <w:vertAlign w:val="baseline"/>
          </w:rPr>
          <w:t>http://www.G5.gov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w:t>
      </w:r>
      <w:r>
        <w:rPr>
          <w:rFonts w:ascii="arial" w:eastAsia="arial" w:hAnsi="arial" w:cs="arial"/>
          <w:b/>
          <w:i w:val="0"/>
          <w:strike w:val="0"/>
          <w:noProof w:val="0"/>
          <w:color w:val="000000"/>
          <w:position w:val="0"/>
          <w:sz w:val="20"/>
          <w:u w:val="none"/>
          <w:vertAlign w:val="baseline"/>
        </w:rPr>
        <w:t> [*15773] </w:t>
      </w:r>
      <w:r>
        <w:rPr>
          <w:rFonts w:ascii="arial" w:eastAsia="arial" w:hAnsi="arial" w:cs="arial"/>
          <w:b w:val="0"/>
          <w:i w:val="0"/>
          <w:strike w:val="0"/>
          <w:noProof w:val="0"/>
          <w:color w:val="000000"/>
          <w:position w:val="0"/>
          <w:sz w:val="20"/>
          <w:u w:val="none"/>
          <w:vertAlign w:val="baseline"/>
        </w:rPr>
        <w:t xml:space="preserv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 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Brian Lekander, U.S. Department of Education, 400 Maryland Avenue SW., Room 4C133, Washington, DC 20202. FAX: (202) 205-5631.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84.295A),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84.295A),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grant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the Ready-to-Learn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EDGAR general selection criteria in </w:t>
      </w:r>
      <w:hyperlink r:id="rId30"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points assigned to each criterion are indicated in the parentheses next to the criterion. An applicant may earn up to a total of 100 points based on its responses to the selection criteria.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must provide in the project narrative section of its application information about how its proposed project addresses the selection criteria. In responding to the selection criteria, applicants should keep in mind that peer reviewers may consider only the information provided in the written application when scoring and commenting on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w:t>
      </w:r>
      <w:r>
        <w:rPr>
          <w:rFonts w:ascii="arial" w:eastAsia="arial" w:hAnsi="arial" w:cs="arial"/>
          <w:b w:val="0"/>
          <w:i w:val="0"/>
          <w:strike w:val="0"/>
          <w:noProof w:val="0"/>
          <w:color w:val="000000"/>
          <w:position w:val="0"/>
          <w:sz w:val="20"/>
          <w:u w:val="none"/>
          <w:vertAlign w:val="baseline"/>
        </w:rPr>
        <w:t xml:space="preserve">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significance of the proposed project.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proposed project will provide services or otherwise address the needs of students at risk of educational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proposed project involves the development or demonstration of promising new strategies that build on, or are alternatives to, existing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proposed project represents an exceptional approach for meeting statutory purposes and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proposed project is supported by strong theory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proposed development efforts include adequate quality controls and, as appropriate, repeated testing of products.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responding to the Quality of the Project Design selection criterion, an applicant should include a detailed description of its proposal to develop media and conduct outreach, as described in section 2431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Strategy to Scale</w:t>
      </w:r>
      <w:r>
        <w:rPr>
          <w:rFonts w:ascii="arial" w:eastAsia="arial" w:hAnsi="arial" w:cs="arial"/>
          <w:b w:val="0"/>
          <w:i w:val="0"/>
          <w:strike w:val="0"/>
          <w:noProof w:val="0"/>
          <w:color w:val="000000"/>
          <w:position w:val="0"/>
          <w:sz w:val="20"/>
          <w:u w:val="none"/>
          <w:vertAlign w:val="baseline"/>
        </w:rPr>
        <w:t xml:space="preserve">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applicant's strategy to scale the proposed project. In determining the applicant's capacity to scale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applicant's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terms of qualified personnel, financial resources, or management capacity) to further develop and bring to scale the proposed process, product, strategy, or practice, or to work with others to ensure that the proposed process, product, strategy, or practice can be further developed and brought to scale, based on the findings of the proposed project. </w:t>
      </w:r>
      <w:r>
        <w:rPr>
          <w:rFonts w:ascii="arial" w:eastAsia="arial" w:hAnsi="arial" w:cs="arial"/>
          <w:b/>
          <w:i w:val="0"/>
          <w:strike w:val="0"/>
          <w:noProof w:val="0"/>
          <w:color w:val="000000"/>
          <w:position w:val="0"/>
          <w:sz w:val="20"/>
          <w:u w:val="none"/>
          <w:vertAlign w:val="baseline"/>
        </w:rPr>
        <w:t> [*15774]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likely utility of the products (such as information, materials, processes, or techniques) that will result from the proposed project, including the potential for their being used effectively in a variety of other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qualifications, including relevant training and experience, of key project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relevance and demonstrated commitment of each partner in the proposed project to the implementation and success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include the use of objective performance measures that are clearly related to the intended outcomes of the project and will produce quantitative and qualitative data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will provide timely guidance for quality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methods of evaluation will, if well-implemented, produce evidence about the project's effectiveness that would meet the What Works Clearinghouse Evidence Standards (as defined in this notice) with reservations.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We encourage applicants to review the following technical assistance resources on evaluation: (1) WWC Procedures and Standards Handbook: </w:t>
      </w:r>
      <w:hyperlink r:id="rId31"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(2) IES/NCEE Technical Methods papers: </w:t>
      </w:r>
      <w:hyperlink r:id="rId32"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we invite applicants to view two optional Webinar recordings that was hosted by the Institute of Education Sciences. The first Webinar discussed strategies for designing and executing well-designed quasi-experimental design studies. Applicants interested in viewing this Webinar may find more information at the following Web site: </w:t>
      </w:r>
      <w:hyperlink r:id="rId33" w:history="1">
        <w:r>
          <w:rPr>
            <w:rFonts w:ascii="arial" w:eastAsia="arial" w:hAnsi="arial" w:cs="arial"/>
            <w:b w:val="0"/>
            <w:i/>
            <w:strike w:val="0"/>
            <w:noProof w:val="0"/>
            <w:color w:val="0077CC"/>
            <w:position w:val="0"/>
            <w:sz w:val="20"/>
            <w:u w:val="single"/>
            <w:vertAlign w:val="baseline"/>
          </w:rPr>
          <w:t>http://ies.ed.gov/ncee/wwc/news.aspx?sid=23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also encourage applicants to review a second Webinar recorded by the IES that focused on more rigorous evaluation designs. This Webinar discusses strategies for designing and executing studies that meet WWC standards without reservations. Applicants interested in reviewing this Webinar may find more information at the following Web site: </w:t>
      </w:r>
      <w:hyperlink r:id="rId34" w:history="1">
        <w:r>
          <w:rPr>
            <w:rFonts w:ascii="arial" w:eastAsia="arial" w:hAnsi="arial" w:cs="arial"/>
            <w:b w:val="0"/>
            <w:i/>
            <w:strike w:val="0"/>
            <w:noProof w:val="0"/>
            <w:color w:val="0077CC"/>
            <w:position w:val="0"/>
            <w:sz w:val="20"/>
            <w:u w:val="single"/>
            <w:vertAlign w:val="baseline"/>
          </w:rPr>
          <w:t>http://ies.ed.gov/ncee/wwc/News.aspx?sid=18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Before making awards, we will screen applications submitted in accordance with the requirements in this notice to determine whether applications have met eligibility and other requirements. This screening process may occur at various stages of the process; applicants that are determined to be ineligible will not receive a grant, regardless of peer reviewer scores 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use independent peer reviewers with varied backgrounds and professions, such as experts in science or literacy education, early learning, media production and distribution, educational game development, educational technology, community-based outreach, or educational research and evaluation. All reviewers will be thoroughly screened for conflicts of interest to ensure a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 process. Peer reviewers will read, prepare a written evaluation, and score the assigned applications, using the selection criteria provided in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41"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2"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3"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4"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5"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Department has established four performance measures for the Ready-to-Learn program. These measures constitute the Department's indicators of success for the program. Consequently, we advise an applicant for a grant under this program to give careful consideration to these measures in conceptualizing the approach and evaluation for its proposed project. Each grantee will be required to provide, in its annual performance reports and in its final report, data about its progress in meeting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three are Government Performance and Results Act of 1993 </w:t>
      </w:r>
      <w:r>
        <w:rPr>
          <w:rFonts w:ascii="arial" w:eastAsia="arial" w:hAnsi="arial" w:cs="arial"/>
          <w:b/>
          <w:i w:val="0"/>
          <w:strike w:val="0"/>
          <w:noProof w:val="0"/>
          <w:color w:val="000000"/>
          <w:position w:val="0"/>
          <w:sz w:val="20"/>
          <w:u w:val="none"/>
          <w:vertAlign w:val="baseline"/>
        </w:rPr>
        <w:t> [*15775] </w:t>
      </w:r>
      <w:r>
        <w:rPr>
          <w:rFonts w:ascii="arial" w:eastAsia="arial" w:hAnsi="arial" w:cs="arial"/>
          <w:b w:val="0"/>
          <w:i w:val="0"/>
          <w:strike w:val="0"/>
          <w:noProof w:val="0"/>
          <w:color w:val="000000"/>
          <w:position w:val="0"/>
          <w:sz w:val="20"/>
          <w:u w:val="none"/>
          <w:vertAlign w:val="baseline"/>
        </w:rPr>
        <w:t xml:space="preserve"> (GPRA) performance measures for the Ready-to-Learn program:</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summative experimental or quasi-experimental research studies that demonstrate positive and statistically significant gains in science or literacy skills when Ready-to-Learn transmedia properties are compared to similar non-Ready-to-Learn-funded digital properties or to other more traditional educational materials.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children who annually use Ready-to-Learn produced educational media products, disaggregated by individual product, as determined by appropriate industry standard metrics or, when available, by tracking tools.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educational "transmedia products," along with necessary supporting materials, that are deemed to be of high quality in promoting learning of science or literacy by an independent panel of expert reviewers.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will convene expert panels annually to review grantee-produced products. Applicants should include in their budgets funds for two individuals each year to spend two days in Washington, DC to attend these panel meetings and to demonstrate the identified products to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performance measure for Ready-to-Learn is a program efficiency measure: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Dollars leveraged from non-Federal sources per Federal dollar dedicated to core non-outreach and non-research program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17"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Brian Lekander, U.S. Department of Education, 400 Maryland Avenue SW., Room 4C133, Washington, DC 20202-5930. Telephone: (202) 205-5633 or by email: </w:t>
      </w:r>
      <w:hyperlink r:id="rId23" w:history="1">
        <w:r>
          <w:rPr>
            <w:rFonts w:ascii="arial" w:eastAsia="arial" w:hAnsi="arial" w:cs="arial"/>
            <w:b w:val="0"/>
            <w:i/>
            <w:strike w:val="0"/>
            <w:noProof w:val="0"/>
            <w:color w:val="0077CC"/>
            <w:position w:val="0"/>
            <w:sz w:val="20"/>
            <w:u w:val="single"/>
            <w:vertAlign w:val="baseline"/>
          </w:rPr>
          <w:t>readytolearn@ed.gov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6"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7"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20,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Deputy Secretary for Innovation and Improvement.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2015-06791 Filed 3-23-15;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April 9, 2015.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An informational Webinar will be announced on the Ready-to-Learn Television Web site at </w:t>
      </w:r>
      <w:hyperlink r:id="rId24" w:history="1">
        <w:r>
          <w:rPr>
            <w:rFonts w:ascii="arial" w:eastAsia="arial" w:hAnsi="arial" w:cs="arial"/>
            <w:b w:val="0"/>
            <w:i/>
            <w:strike w:val="0"/>
            <w:noProof w:val="0"/>
            <w:color w:val="0077CC"/>
            <w:position w:val="0"/>
            <w:sz w:val="20"/>
            <w:u w:val="single"/>
            <w:vertAlign w:val="baseline"/>
          </w:rPr>
          <w:t>http://www2.ed.gov/programs/rtltv/index.html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26,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23, 2015.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15768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7T-7HV0-008H-03HM-00000-00&amp;context=" TargetMode="External" /><Relationship Id="rId11" Type="http://schemas.openxmlformats.org/officeDocument/2006/relationships/hyperlink" Target="https://advance.lexis.com/api/document?collection=statutes-legislation&amp;id=urn:contentItem:4YF7-GKS1-NRF4-432P-00000-00&amp;context=" TargetMode="External" /><Relationship Id="rId12" Type="http://schemas.openxmlformats.org/officeDocument/2006/relationships/hyperlink" Target="https://advance.lexis.com/api/document?collection=statutes-legislation&amp;id=urn:contentItem:4YF7-GS11-NRF4-43B9-00000-00&amp;context=" TargetMode="External" /><Relationship Id="rId13" Type="http://schemas.openxmlformats.org/officeDocument/2006/relationships/hyperlink" Target="www.relpacific.mcrel.org/PERR.html" TargetMode="External" /><Relationship Id="rId14" Type="http://schemas.openxmlformats.org/officeDocument/2006/relationships/hyperlink" Target="http://files.eric.ed.gov/fulltext/ED544779.pdf" TargetMode="External" /><Relationship Id="rId15" Type="http://schemas.openxmlformats.org/officeDocument/2006/relationships/hyperlink" Target="http://ies.ed.gov/ncee/wwc/DocumentSum.aspx?sid=19" TargetMode="External" /><Relationship Id="rId16" Type="http://schemas.openxmlformats.org/officeDocument/2006/relationships/hyperlink" Target="https://advance.lexis.com/api/document?collection=statutes-legislation&amp;id=urn:contentItem:4YF7-GNX1-NRF4-43F6-00000-00&amp;context=" TargetMode="External" /><Relationship Id="rId17" Type="http://schemas.openxmlformats.org/officeDocument/2006/relationships/hyperlink" Target="https://advance.lexis.com/api/document?collection=administrative-codes&amp;id=urn:contentItem:5GMB-DPB0-008H-02K8-00000-00&amp;context=" TargetMode="External" /><Relationship Id="rId18" Type="http://schemas.openxmlformats.org/officeDocument/2006/relationships/hyperlink" Target="https://advance.lexis.com/api/document?collection=administrative-codes&amp;id=urn:contentItem:5GMB-DPB0-008H-0269-00000-00&amp;context=" TargetMode="External" /><Relationship Id="rId19" Type="http://schemas.openxmlformats.org/officeDocument/2006/relationships/hyperlink" Target="https://advance.lexis.com/api/document?collection=administrative-codes&amp;id=urn:contentItem:5GMB-DPB0-008H-026C-00000-00&amp;context=" TargetMode="External" /><Relationship Id="rId2" Type="http://schemas.openxmlformats.org/officeDocument/2006/relationships/webSettings" Target="webSettings.xml" /><Relationship Id="rId20" Type="http://schemas.openxmlformats.org/officeDocument/2006/relationships/hyperlink" Target="www.ed.gov/fund/grant/apply/grantapps/index.html" TargetMode="External" /><Relationship Id="rId21" Type="http://schemas.openxmlformats.org/officeDocument/2006/relationships/hyperlink" Target="www.EDPubs.gov" TargetMode="External" /><Relationship Id="rId22" Type="http://schemas.openxmlformats.org/officeDocument/2006/relationships/hyperlink" Target="mailto:edpubs@inet.ed.gov" TargetMode="External" /><Relationship Id="rId23" Type="http://schemas.openxmlformats.org/officeDocument/2006/relationships/hyperlink" Target="mailto:readytolearn@ed.gov" TargetMode="External" /><Relationship Id="rId24" Type="http://schemas.openxmlformats.org/officeDocument/2006/relationships/hyperlink" Target="http://www2.ed.gov/programs/rtltv/index.html" TargetMode="External" /><Relationship Id="rId25" Type="http://schemas.openxmlformats.org/officeDocument/2006/relationships/hyperlink" Target="www.SAM.gov" TargetMode="External" /><Relationship Id="rId26" Type="http://schemas.openxmlformats.org/officeDocument/2006/relationships/hyperlink" Target="http://www2.ed.gov/fund/grant/apply/sam-faqs.html" TargetMode="External" /><Relationship Id="rId27" Type="http://schemas.openxmlformats.org/officeDocument/2006/relationships/hyperlink" Target="www.grants.gov/web/grants/register.html" TargetMode="External" /><Relationship Id="rId28" Type="http://schemas.openxmlformats.org/officeDocument/2006/relationships/hyperlink" Target="www.Grants.gov" TargetMode="External" /><Relationship Id="rId29" Type="http://schemas.openxmlformats.org/officeDocument/2006/relationships/hyperlink" Target="http://www.G5.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7T-7HS0-008H-02VY-00000-00&amp;context=" TargetMode="External" /><Relationship Id="rId31" Type="http://schemas.openxmlformats.org/officeDocument/2006/relationships/hyperlink" Target="http://ies.ed.gov/ncee/wwc/references/idocviewer/doc.aspx?docid=19&amp;tocid=1" TargetMode="External" /><Relationship Id="rId32" Type="http://schemas.openxmlformats.org/officeDocument/2006/relationships/hyperlink" Target="http://ies.ed.gov/ncee/tech_methods/" TargetMode="External" /><Relationship Id="rId33" Type="http://schemas.openxmlformats.org/officeDocument/2006/relationships/hyperlink" Target="http://ies.ed.gov/ncee/wwc/news.aspx?sid=23" TargetMode="External" /><Relationship Id="rId34" Type="http://schemas.openxmlformats.org/officeDocument/2006/relationships/hyperlink" Target="http://ies.ed.gov/ncee/wwc/News.aspx?sid=18" TargetMode="External" /><Relationship Id="rId35" Type="http://schemas.openxmlformats.org/officeDocument/2006/relationships/hyperlink" Target="https://advance.lexis.com/api/document?collection=administrative-codes&amp;id=urn:contentItem:5GMB-DPB0-008H-02GP-00000-00&amp;context=" TargetMode="External" /><Relationship Id="rId36" Type="http://schemas.openxmlformats.org/officeDocument/2006/relationships/hyperlink" Target="https://advance.lexis.com/api/document?collection=administrative-codes&amp;id=urn:contentItem:5KS0-F5W0-008H-023P-00000-00&amp;context=" TargetMode="External" /><Relationship Id="rId37" Type="http://schemas.openxmlformats.org/officeDocument/2006/relationships/hyperlink" Target="https://advance.lexis.com/api/document?collection=administrative-codes&amp;id=urn:contentItem:5R5H-J1H0-008H-043K-00000-00&amp;context=" TargetMode="External" /><Relationship Id="rId38" Type="http://schemas.openxmlformats.org/officeDocument/2006/relationships/hyperlink" Target="https://advance.lexis.com/api/document?collection=administrative-codes&amp;id=urn:contentItem:5KS0-F5W0-008H-024V-00000-00&amp;context=" TargetMode="External" /><Relationship Id="rId39" Type="http://schemas.openxmlformats.org/officeDocument/2006/relationships/hyperlink" Target="https://advance.lexis.com/api/document?collection=administrative-codes&amp;id=urn:contentItem:5KS0-F600-008H-02P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KS0-F5W0-008H-025B-00000-00&amp;context=" TargetMode="External" /><Relationship Id="rId41" Type="http://schemas.openxmlformats.org/officeDocument/2006/relationships/hyperlink" Target="https://advance.lexis.com/api/document?collection=administrative-codes&amp;id=urn:contentItem:5F34-Y1R0-008G-Y1F9-00000-00&amp;context=" TargetMode="External" /><Relationship Id="rId42" Type="http://schemas.openxmlformats.org/officeDocument/2006/relationships/hyperlink" Target="https://advance.lexis.com/api/document?collection=administrative-codes&amp;id=urn:contentItem:5F2R-48P0-008G-Y31V-00000-00&amp;context=" TargetMode="External" /><Relationship Id="rId43" Type="http://schemas.openxmlformats.org/officeDocument/2006/relationships/hyperlink" Target="https://advance.lexis.com/api/document?collection=administrative-codes&amp;id=urn:contentItem:5GMB-DPC0-008H-02S7-00000-00&amp;context=" TargetMode="External" /><Relationship Id="rId44" Type="http://schemas.openxmlformats.org/officeDocument/2006/relationships/hyperlink" Target="https://advance.lexis.com/api/document?collection=administrative-codes&amp;id=urn:contentItem:5GMB-DPC0-008H-02SK-00000-00&amp;context=" TargetMode="External" /><Relationship Id="rId45" Type="http://schemas.openxmlformats.org/officeDocument/2006/relationships/hyperlink" Target="www.ed.gov/fund/grant/apply/appforms/appforms.html" TargetMode="External" /><Relationship Id="rId46" Type="http://schemas.openxmlformats.org/officeDocument/2006/relationships/hyperlink" Target="www.gpo.gov/fdsys" TargetMode="External" /><Relationship Id="rId47" Type="http://schemas.openxmlformats.org/officeDocument/2006/relationships/hyperlink" Target="www.federalregister.gov" TargetMode="Externa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KK-T410-006W-82DH-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www.ecfr.gov/cgi-bin/text-idx?SID=4939e77c77a1a1a08c1cbf905fc4b409&amp;node=16%3A1.0.1.3.36&amp;rgn=div5"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15768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71569883</vt:lpwstr>
  </property>
  <property fmtid="{D5CDD505-2E9C-101B-9397-08002B2CF9AE}" pid="3" name="LADocCount">
    <vt:lpwstr>1</vt:lpwstr>
  </property>
  <property fmtid="{D5CDD505-2E9C-101B-9397-08002B2CF9AE}" pid="4" name="UserPermID">
    <vt:lpwstr>urn:user:PA185916758</vt:lpwstr>
  </property>
</Properties>
</file>