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0"/>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16427</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059, Friday, March 27,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16427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March</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March 27,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DEPARTMENT OF JUSTICE (DOJ) -- </w:t>
      </w:r>
      <w:r>
        <w:rPr>
          <w:rFonts w:ascii="arial" w:eastAsia="arial" w:hAnsi="arial" w:cs="arial"/>
          <w:b/>
          <w:i/>
          <w:strike w:val="0"/>
          <w:noProof w:val="0"/>
          <w:color w:val="000000"/>
          <w:position w:val="0"/>
          <w:sz w:val="22"/>
          <w:u w:val="single"/>
          <w:vertAlign w:val="baseline"/>
        </w:rPr>
        <w:t>Antitrust</w:t>
      </w:r>
      <w:r>
        <w:rPr>
          <w:rFonts w:ascii="arial" w:eastAsia="arial" w:hAnsi="arial" w:cs="arial"/>
          <w:b/>
          <w:i/>
          <w:strike w:val="0"/>
          <w:noProof w:val="0"/>
          <w:color w:val="000000"/>
          <w:position w:val="0"/>
          <w:sz w:val="22"/>
          <w:u w:val="none"/>
          <w:vertAlign w:val="baseline"/>
        </w:rPr>
        <w:t xml:space="preserve"> Division</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United States and State of New York v. Twin America, LLC, et al.; Proposed Final Judgment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Impact Statement</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DEPARTMENT OF JUSTICE (DOJ)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Notice is hereby given pursuant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w:t>
      </w:r>
      <w:hyperlink r:id="rId8" w:history="1">
        <w:r>
          <w:rPr>
            <w:rFonts w:ascii="arial" w:eastAsia="arial" w:hAnsi="arial" w:cs="arial"/>
            <w:b w:val="0"/>
            <w:i/>
            <w:strike w:val="0"/>
            <w:noProof w:val="0"/>
            <w:color w:val="0077CC"/>
            <w:position w:val="0"/>
            <w:sz w:val="20"/>
            <w:u w:val="single"/>
            <w:vertAlign w:val="baseline"/>
          </w:rPr>
          <w:t>15 U.S.C. 16(b)</w:t>
        </w:r>
      </w:hyperlink>
      <w:r>
        <w:rPr>
          <w:rFonts w:ascii="arial" w:eastAsia="arial" w:hAnsi="arial" w:cs="arial"/>
          <w:b w:val="0"/>
          <w:i w:val="0"/>
          <w:strike w:val="0"/>
          <w:noProof w:val="0"/>
          <w:color w:val="000000"/>
          <w:position w:val="0"/>
          <w:sz w:val="20"/>
          <w:u w:val="none"/>
          <w:vertAlign w:val="baseline"/>
        </w:rPr>
        <w:t xml:space="preserve">-(h), that a proposed Final Judgment, Stipulation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have been filed with the United States District Court for the Southern District of New York in </w:t>
      </w:r>
      <w:r>
        <w:rPr>
          <w:rFonts w:ascii="arial" w:eastAsia="arial" w:hAnsi="arial" w:cs="arial"/>
          <w:b w:val="0"/>
          <w:i/>
          <w:strike w:val="0"/>
          <w:noProof w:val="0"/>
          <w:color w:val="000000"/>
          <w:position w:val="0"/>
          <w:sz w:val="20"/>
          <w:u w:val="none"/>
          <w:vertAlign w:val="baseline"/>
        </w:rPr>
        <w:t>United States and State of New York</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Twin America, LLC, et al.,</w:t>
      </w:r>
      <w:r>
        <w:rPr>
          <w:rFonts w:ascii="arial" w:eastAsia="arial" w:hAnsi="arial" w:cs="arial"/>
          <w:b w:val="0"/>
          <w:i w:val="0"/>
          <w:strike w:val="0"/>
          <w:noProof w:val="0"/>
          <w:color w:val="000000"/>
          <w:position w:val="0"/>
          <w:sz w:val="20"/>
          <w:u w:val="none"/>
          <w:vertAlign w:val="baseline"/>
        </w:rPr>
        <w:t xml:space="preserve"> Civil Action No. 12-cv-8989 (ALC) (GWG). On December 11, 2012, the United States and the State of New York filed a Complaint. The United States alleged that the formation of Twin America, LLC by Coach USA, Inc. and CitySights LLC violated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 and Section 1 of the Sherman Act (</w:t>
      </w:r>
      <w:r>
        <w:rPr>
          <w:rFonts w:ascii="arial" w:eastAsia="arial" w:hAnsi="arial" w:cs="arial"/>
          <w:b w:val="0"/>
          <w:i/>
          <w:strike w:val="0"/>
          <w:noProof w:val="0"/>
          <w:color w:val="000000"/>
          <w:position w:val="0"/>
          <w:sz w:val="20"/>
          <w:u w:val="none"/>
          <w:vertAlign w:val="baseline"/>
        </w:rPr>
        <w:t>15 U.S.C. 1</w:t>
      </w:r>
      <w:r>
        <w:rPr>
          <w:rFonts w:ascii="arial" w:eastAsia="arial" w:hAnsi="arial" w:cs="arial"/>
          <w:b w:val="0"/>
          <w:i w:val="0"/>
          <w:strike w:val="0"/>
          <w:noProof w:val="0"/>
          <w:color w:val="000000"/>
          <w:position w:val="0"/>
          <w:sz w:val="20"/>
          <w:u w:val="none"/>
          <w:vertAlign w:val="baseline"/>
        </w:rPr>
        <w:t>). The proposed Final Judgment, filed on March 16, 2015, requires Defendants to relinquish all of CitySights's Manhattan bus stop authorizations granted by the New York City Department of Transportation (NYC DOT) to NYC DOT, and to pay $ 7.5 million in disgorgement.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Copies of the Complaint, proposed Final Judgment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are available for inspection at the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Documents Group, 450 Fifth Street NW., Suite 1010, Washington, DC 20530 (telephone: 202-514-2481), on the Department of Justice's Web site at </w:t>
      </w:r>
      <w:hyperlink r:id="rId10" w:history="1">
        <w:r>
          <w:rPr>
            <w:rFonts w:ascii="arial" w:eastAsia="arial" w:hAnsi="arial" w:cs="arial"/>
            <w:b w:val="0"/>
            <w:i/>
            <w:strike w:val="0"/>
            <w:noProof w:val="0"/>
            <w:color w:val="0077CC"/>
            <w:position w:val="0"/>
            <w:sz w:val="20"/>
            <w:u w:val="single"/>
            <w:vertAlign w:val="baseline"/>
          </w:rPr>
          <w:t>http://www.usdoj.gov/atr</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at the Office of the Clerk of the United States District Court for the Southern District of New York. Copies of these materials may be obtained from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upon request and payment of the copying fee set by Department of Justice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Public comment is invited within 60 days of the date of this notice. Such comments, including the name of the submitter, and responses thereto, will be posted on the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internet Web site, filed with the Court and, under certain circumstances,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Comments should be directed to William H. Stallings, Chief, Transportation, Energy &amp; Agriculture Section,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U.S. Department of Justice, 450 Fifth Street NW., Suite 8000, Washington, DC 20530 (telephone: 202-514-9323).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Patricia A. Brink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Director of Civil Enforcement.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UNITED STATES DISTRICT COURT FOR THE SOUTHERN DISTRICT OF NEW YORK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United States of America, and State of New York, Plaintiffs,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Twin America, LLC, et al., Defendants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Civil Action No. 12-cv-8989 (ALC) (GWG).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ECF CASE.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IMPACT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Section 2(b)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("APPA" or "Tunney Act"), </w:t>
      </w:r>
      <w:hyperlink r:id="rId8" w:history="1">
        <w:r>
          <w:rPr>
            <w:rFonts w:ascii="arial" w:eastAsia="arial" w:hAnsi="arial" w:cs="arial"/>
            <w:b w:val="0"/>
            <w:i/>
            <w:strike w:val="0"/>
            <w:noProof w:val="0"/>
            <w:color w:val="0077CC"/>
            <w:position w:val="0"/>
            <w:sz w:val="20"/>
            <w:u w:val="single"/>
            <w:vertAlign w:val="baseline"/>
          </w:rPr>
          <w:t>15 U.S.C. 16(b)</w:t>
        </w:r>
      </w:hyperlink>
      <w:r>
        <w:rPr>
          <w:rFonts w:ascii="arial" w:eastAsia="arial" w:hAnsi="arial" w:cs="arial"/>
          <w:b w:val="0"/>
          <w:i w:val="0"/>
          <w:strike w:val="0"/>
          <w:noProof w:val="0"/>
          <w:color w:val="000000"/>
          <w:position w:val="0"/>
          <w:sz w:val="20"/>
          <w:u w:val="none"/>
          <w:vertAlign w:val="baseline"/>
        </w:rPr>
        <w:t xml:space="preserve">-(h), Plaintiff United States of America ("United States") files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relating to the proposed Final Judgment submitted for entry in this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proceeding.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NATURE AND PURPOSE OF THE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March 17, 2009, Defendants Coach USA, Inc. (through subsidiary International Bus Services, Inc. ("IBS")) and CitySights LLC (through subsidiary City Sights Twin, LLC) formed Twin America, LLC ("Twin America"), a joint venture that combined the companies' hop-on, hop-off bus tour businesses in New York City. The United States and the State of New York (collectively, "Plaintiffs") filed a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Complaint on December 11, 2012, alleging that the formation of Twin America substantially lessened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 for hop-on, hop-off bus tours in New York City in violation of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 and also violated Section 1 of the Sherman Act (</w:t>
      </w:r>
      <w:r>
        <w:rPr>
          <w:rFonts w:ascii="arial" w:eastAsia="arial" w:hAnsi="arial" w:cs="arial"/>
          <w:b w:val="0"/>
          <w:i/>
          <w:strike w:val="0"/>
          <w:noProof w:val="0"/>
          <w:color w:val="000000"/>
          <w:position w:val="0"/>
          <w:sz w:val="20"/>
          <w:u w:val="none"/>
          <w:vertAlign w:val="baseline"/>
        </w:rPr>
        <w:t>15 U.S.C. 1</w:t>
      </w:r>
      <w:r>
        <w:rPr>
          <w:rFonts w:ascii="arial" w:eastAsia="arial" w:hAnsi="arial" w:cs="arial"/>
          <w:b w:val="0"/>
          <w:i w:val="0"/>
          <w:strike w:val="0"/>
          <w:noProof w:val="0"/>
          <w:color w:val="000000"/>
          <w:position w:val="0"/>
          <w:sz w:val="20"/>
          <w:u w:val="none"/>
          <w:vertAlign w:val="baseline"/>
        </w:rPr>
        <w:t xml:space="preserve">), Section 340 of the Donnelly Act (N.Y. Gen. Bus. Law § 340), and Section 63(12) of the New York Executive Law (N.Y. Exec. Law § 63(12)). n1 The Complaint sought to remedy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disgorge Defendants' ill-gotten gains.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The Tunney Act applies to "proposal[s] for a consent judgment submitted by the United States for entry in any civil proceeding brought by or on behalf of the United States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[of the United States]." </w:t>
      </w:r>
      <w:hyperlink r:id="rId8" w:history="1">
        <w:r>
          <w:rPr>
            <w:rFonts w:ascii="arial" w:eastAsia="arial" w:hAnsi="arial" w:cs="arial"/>
            <w:b w:val="0"/>
            <w:i/>
            <w:strike w:val="0"/>
            <w:noProof w:val="0"/>
            <w:color w:val="0077CC"/>
            <w:position w:val="0"/>
            <w:sz w:val="20"/>
            <w:u w:val="single"/>
            <w:vertAlign w:val="baseline"/>
          </w:rPr>
          <w:t>15 U.S.C. 16(b)</w:t>
        </w:r>
      </w:hyperlink>
      <w:r>
        <w:rPr>
          <w:rFonts w:ascii="arial" w:eastAsia="arial" w:hAnsi="arial" w:cs="arial"/>
          <w:b w:val="0"/>
          <w:i w:val="0"/>
          <w:strike w:val="0"/>
          <w:noProof w:val="0"/>
          <w:color w:val="000000"/>
          <w:position w:val="0"/>
          <w:sz w:val="20"/>
          <w:u w:val="none"/>
          <w:vertAlign w:val="baseline"/>
        </w:rPr>
        <w:t>. Therefore, the proposed Final Judgment's settlement of Plaintiff State of New York's claims under N.Y. Gen. Bus. Law § 340 and N.Y. Exec. Law § 63(12) are not subject to the Tunney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Parties completed discovery and dispositive motions practice and trial was scheduled to begin on February 23, 2015. On December 10, 2014, the Parties informed the Court that they had reached an agreement in principle to settle the litigation and the trial date was adjourned while the Parties finalized the settlement.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Concurrent with the filing of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Plaintiffs have filed a proposed Stipulation and Order, a proposed Final Judgment, and an Explanation of Consent Decree Procedures. The proposed Final Judgment is designed to remedy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 resulting from Defendants' formation of Twin America and deprive Defendants of ill-gotten gains. As explained more fully below, the proposed Final Judgment requires Defendants to relinquish the complete set of City Sights's Manhattan bus stop authorizations to the New York City Department of Transportation (NYCDOT) and to pay $ 7.5 million in disgorgement, among other remedial actions. n2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Defendant Coach USA and the United States have also reached a settlement relating to costs and expenses incurred by the United States associated with discovery into allegations that Coach did not meet its document preservation obligations. This settlement, which is being filed concurrently with the filing of the proposed Final Judgment, is not subject to Tunney Act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Plaintiffs and Defendants have stipulated that Defendants are bound by the terms of the proposed Final Judgment and that the proposed Final Judgment may be entered after compliance with the APPA. Entry of the proposed Final Judgment would terminate this action, except that the Court would retain jurisdiction to construe, modify, or enforce the provisions of the proposed Final Judgment and to punish violations thereof.</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DESCRIPTION OF THE EVENTS GIVING RISE TO THE ALLEGED VIOLATION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The Defendants and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Coach USA, Inc. ("Coach"), a Delaware corporation with its principal place of business in Paramus, New Jersey, operated hop-on, hop-off bus tours in New York City under the "Gray Line New York" brand. Coach acquired the Gray Line business in 1998, and, by the early 2000s, was the dominant </w:t>
      </w:r>
      <w:r>
        <w:rPr>
          <w:rFonts w:ascii="arial" w:eastAsia="arial" w:hAnsi="arial" w:cs="arial"/>
          <w:b/>
          <w:i w:val="0"/>
          <w:strike w:val="0"/>
          <w:noProof w:val="0"/>
          <w:color w:val="000000"/>
          <w:position w:val="0"/>
          <w:sz w:val="20"/>
          <w:u w:val="none"/>
          <w:vertAlign w:val="baseline"/>
        </w:rPr>
        <w:t> [*16428] </w:t>
      </w:r>
      <w:r>
        <w:rPr>
          <w:rFonts w:ascii="arial" w:eastAsia="arial" w:hAnsi="arial" w:cs="arial"/>
          <w:b w:val="0"/>
          <w:i w:val="0"/>
          <w:strike w:val="0"/>
          <w:noProof w:val="0"/>
          <w:color w:val="000000"/>
          <w:position w:val="0"/>
          <w:sz w:val="20"/>
          <w:u w:val="none"/>
          <w:vertAlign w:val="baseline"/>
        </w:rPr>
        <w:t xml:space="preserve"> provider of hop-on, hop-off bus tours in New York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CitySights LLC ("City Sights"), a New York limited liability company with its principal place of business in New York, New York, began operating hop-on, hop-off bus tours under the "CitySights NY" brand in 2005. Between 2005 and 2009, City Sights steadily grew its business and established itself as Gray Line's only meaningful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By the end of 2008, City Sights had almost equaled Gray Line in market share and was poised for further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impact of increasing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City Sights generated concern at the highest levels of Coach and its corporate parent, Stagecoach Group plc ("Stagecoach"), and led them to seek a business combination with City Sights. On March 17, 2009, following several months of negotiations, Coach (through subsidiary IBS) and City Sights (through subsidiary City Sights Twin, LLC) executed a joint venture agreement creating Twin America, a Delaware limited liability company with its principal place of business in New York City. Twin America combined Defendants' New York City hop-on, hop-off bus tour operations and ended all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Gray Line and City Sights. Twin America continued to operate both the Gray Line and City Sights brands under common ownership and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formation of Twin America was not subject to the Hart-Scott-Rodino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Improvements Act of 1976, as amended, </w:t>
      </w:r>
      <w:hyperlink r:id="rId11" w:history="1">
        <w:r>
          <w:rPr>
            <w:rFonts w:ascii="arial" w:eastAsia="arial" w:hAnsi="arial" w:cs="arial"/>
            <w:b w:val="0"/>
            <w:i/>
            <w:strike w:val="0"/>
            <w:noProof w:val="0"/>
            <w:color w:val="0077CC"/>
            <w:position w:val="0"/>
            <w:sz w:val="20"/>
            <w:u w:val="single"/>
            <w:vertAlign w:val="baseline"/>
          </w:rPr>
          <w:t>15 U.S.C. 18a</w:t>
        </w:r>
      </w:hyperlink>
      <w:r>
        <w:rPr>
          <w:rFonts w:ascii="arial" w:eastAsia="arial" w:hAnsi="arial" w:cs="arial"/>
          <w:b w:val="0"/>
          <w:i w:val="0"/>
          <w:strike w:val="0"/>
          <w:noProof w:val="0"/>
          <w:color w:val="000000"/>
          <w:position w:val="0"/>
          <w:sz w:val="20"/>
          <w:u w:val="none"/>
          <w:vertAlign w:val="baseline"/>
        </w:rPr>
        <w:t xml:space="preserve"> (the "HSR Act"), which requires companies to notify and provide information to the Department of Justice and the Federal Trade Commission before consummating certain transactions. Neither the United States nor the State of New York was aware of the transaction until after it had been consummated. Upon learning of the transaction,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Bureau of the New York State Attorney General's Office ("NYSAG") opened an investigation, and on July 31 and August 3, 2009, served subpoenas on Defendants seeking information about Twin America's 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The STB's Rejection of the Joint Venture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Within weeks of receiving the NYSAG's subpoenas, on August 19, 2009, Defendants applied to the federal Surface Transportation Board ("STB") for approval of Twin America. Pursuant to </w:t>
      </w:r>
      <w:hyperlink r:id="rId12" w:history="1">
        <w:r>
          <w:rPr>
            <w:rFonts w:ascii="arial" w:eastAsia="arial" w:hAnsi="arial" w:cs="arial"/>
            <w:b w:val="0"/>
            <w:i/>
            <w:strike w:val="0"/>
            <w:noProof w:val="0"/>
            <w:color w:val="0077CC"/>
            <w:position w:val="0"/>
            <w:sz w:val="20"/>
            <w:u w:val="single"/>
            <w:vertAlign w:val="baseline"/>
          </w:rPr>
          <w:t>49 U.S.C. 14303</w:t>
        </w:r>
      </w:hyperlink>
      <w:r>
        <w:rPr>
          <w:rFonts w:ascii="arial" w:eastAsia="arial" w:hAnsi="arial" w:cs="arial"/>
          <w:b w:val="0"/>
          <w:i w:val="0"/>
          <w:strike w:val="0"/>
          <w:noProof w:val="0"/>
          <w:color w:val="000000"/>
          <w:position w:val="0"/>
          <w:sz w:val="20"/>
          <w:u w:val="none"/>
          <w:vertAlign w:val="baseline"/>
        </w:rPr>
        <w:t xml:space="preserve">, the STB must approve certain transactions involving passenger motor carriers prior to consummation. Following their application, Defendants asserted that review of Twin America was within the STB's exclusive jurisdiction because STB approval would immunize the transaction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n3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A party to a transaction approved by the STB is "exempt from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from all other law . . . as necessary to let that person carry out the transaction." </w:t>
      </w:r>
      <w:hyperlink r:id="rId12" w:history="1">
        <w:r>
          <w:rPr>
            <w:rFonts w:ascii="arial" w:eastAsia="arial" w:hAnsi="arial" w:cs="arial"/>
            <w:b w:val="0"/>
            <w:i/>
            <w:strike w:val="0"/>
            <w:noProof w:val="0"/>
            <w:color w:val="0077CC"/>
            <w:position w:val="0"/>
            <w:sz w:val="20"/>
            <w:u w:val="single"/>
            <w:vertAlign w:val="baseline"/>
          </w:rPr>
          <w:t>49 U.S.C. 14303(f)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February 8, 2011, following the collection of fact and expert evidence, the STB rejected the Twin America joint venture. The STB expressed "concern[] that the Board's processes may have been manipulated to avoid the inquiry by NYSAG" and concluded that "[t]he transaction produce[d] an unacceptably high market concentration that can lead to, and has in fact led to, unchecked rate increases, and that holds the potential for other harmful effects of excessive market power." n4 Defendants moved for reconsideration, but in January 2012, the STB affirmed its prior finding. The STB gave Defendants the option of unwinding Twin America or spinning off Twin America's nominal interstate services, which the STB identified as the basis for its jurisdiction. On February 8, 2012, Defendants chose to spin off the interstate services, which removed the matter from STB jurisdiction but did nothing to address the joint venture's anticompetitive effects in the New York City hop-on, hop-off bus tour market. Plaintiffs filed the above-captioned lawsuit on December 11,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Stagecoach Group PLC and Coach USA, Inc., et al., </w:t>
      </w:r>
      <w:r>
        <w:rPr>
          <w:rFonts w:ascii="arial" w:eastAsia="arial" w:hAnsi="arial" w:cs="arial"/>
          <w:b w:val="0"/>
          <w:i/>
          <w:strike w:val="0"/>
          <w:noProof w:val="0"/>
          <w:color w:val="000000"/>
          <w:position w:val="0"/>
          <w:sz w:val="20"/>
          <w:u w:val="none"/>
          <w:vertAlign w:val="baseline"/>
        </w:rPr>
        <w:t>Acquisition of Control--Twin America LLC,</w:t>
      </w:r>
      <w:r>
        <w:rPr>
          <w:rFonts w:ascii="arial" w:eastAsia="arial" w:hAnsi="arial" w:cs="arial"/>
          <w:b w:val="0"/>
          <w:i w:val="0"/>
          <w:strike w:val="0"/>
          <w:noProof w:val="0"/>
          <w:color w:val="000000"/>
          <w:position w:val="0"/>
          <w:sz w:val="20"/>
          <w:u w:val="none"/>
          <w:vertAlign w:val="baseline"/>
        </w:rPr>
        <w:t xml:space="preserve"> STB Docket No. MC-F-21035 (Feb. 8, 2011) at 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Effects of the Transaction in the Market for Hop-On, Hop-Off Bus Tours in New York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Relevant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evidence demonstrates that a significant number of customers would not substitute to other tours or attractions in response to a small but significant and non-transitory increase in the price (SSNIP) of hop-on, hop-off bus tours. These bus tours combine transportation and sightseeing into a unique product that is not reasonably interchangeable with other tours or attractions. In addition to providing an informative and entertaining tour of New York City's most popular attractions and neighborhoods, hop-on, hop-off bus tours provide customers with the ability to "hop off" the bus to visit attractions of interest and "hop on" a later bus to continue their tour using the same ticket. As a result of this feature, customers are provided an affordable and reliable means to travel around New York City and the ability to customize their sightseeing itineraries to the attractions and neighborhoods that interest them. Defendants' documents and business practices illustrate that they have long recognized hop-on, hop-off bus tours in New York City to be a distinct market and do not view other types of tours as a significant constraint, a view shared by numerous other New York City sightseeing tours and attractions.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direct evidence of anticompetitive effects following the formation of Twin America provides further support for the conclusion that hop-on, hop-off bus tours in New York City constitute a relevant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market. Defendants implemented a substantial price increase around the time of Twin America's early 2009 formation, raising the fares of City Sights's and Gray Line's downtown, uptown, and all loops tours, for example, by approximately 10 percent. These price increases, which Defendants have sustained for six years (and supplemented with further increases), are higher than the 5 percent SSNIP that is often used under the </w:t>
      </w:r>
      <w:r>
        <w:rPr>
          <w:rFonts w:ascii="arial" w:eastAsia="arial" w:hAnsi="arial" w:cs="arial"/>
          <w:b w:val="0"/>
          <w:i/>
          <w:strike w:val="0"/>
          <w:noProof w:val="0"/>
          <w:color w:val="000000"/>
          <w:position w:val="0"/>
          <w:sz w:val="20"/>
          <w:u w:val="none"/>
          <w:vertAlign w:val="baseline"/>
        </w:rPr>
        <w:t>Horizontal Merger Guidelines</w:t>
      </w:r>
      <w:r>
        <w:rPr>
          <w:rFonts w:ascii="arial" w:eastAsia="arial" w:hAnsi="arial" w:cs="arial"/>
          <w:b w:val="0"/>
          <w:i w:val="0"/>
          <w:strike w:val="0"/>
          <w:noProof w:val="0"/>
          <w:color w:val="000000"/>
          <w:position w:val="0"/>
          <w:sz w:val="20"/>
          <w:u w:val="none"/>
          <w:vertAlign w:val="baseline"/>
        </w:rPr>
        <w:t xml:space="preserve"> to define a market. Defining a relevant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market generally involves answering the question of whether a hypothetical monopolist would find it profitable to impose a SSNIP. The evidence that Coach and City Sights significantly increased price as a result of the market power conferred by the joint venture directly answers this question: it is clear that a </w:t>
      </w:r>
      <w:r>
        <w:rPr>
          <w:rFonts w:ascii="arial" w:eastAsia="arial" w:hAnsi="arial" w:cs="arial"/>
          <w:b w:val="0"/>
          <w:i/>
          <w:strike w:val="0"/>
          <w:noProof w:val="0"/>
          <w:color w:val="000000"/>
          <w:position w:val="0"/>
          <w:sz w:val="20"/>
          <w:u w:val="none"/>
          <w:vertAlign w:val="baseline"/>
        </w:rPr>
        <w:t>hypothetical</w:t>
      </w:r>
      <w:r>
        <w:rPr>
          <w:rFonts w:ascii="arial" w:eastAsia="arial" w:hAnsi="arial" w:cs="arial"/>
          <w:b w:val="0"/>
          <w:i w:val="0"/>
          <w:strike w:val="0"/>
          <w:noProof w:val="0"/>
          <w:color w:val="000000"/>
          <w:position w:val="0"/>
          <w:sz w:val="20"/>
          <w:u w:val="none"/>
          <w:vertAlign w:val="baseline"/>
        </w:rPr>
        <w:t xml:space="preserve"> monopolist would find it profitable to impose a SSNIP because an </w:t>
      </w:r>
      <w:r>
        <w:rPr>
          <w:rFonts w:ascii="arial" w:eastAsia="arial" w:hAnsi="arial" w:cs="arial"/>
          <w:b w:val="0"/>
          <w:i/>
          <w:strike w:val="0"/>
          <w:noProof w:val="0"/>
          <w:color w:val="000000"/>
          <w:position w:val="0"/>
          <w:sz w:val="20"/>
          <w:u w:val="none"/>
          <w:vertAlign w:val="baseline"/>
        </w:rPr>
        <w:t>actual</w:t>
      </w:r>
      <w:r>
        <w:rPr>
          <w:rFonts w:ascii="arial" w:eastAsia="arial" w:hAnsi="arial" w:cs="arial"/>
          <w:b w:val="0"/>
          <w:i w:val="0"/>
          <w:strike w:val="0"/>
          <w:noProof w:val="0"/>
          <w:color w:val="000000"/>
          <w:position w:val="0"/>
          <w:sz w:val="20"/>
          <w:u w:val="none"/>
          <w:vertAlign w:val="baseline"/>
        </w:rPr>
        <w:t xml:space="preserve"> near-monopolist (Twin America) did, in fact, find it profitable to raise price significantly for an extended period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Hop-on, hop-off bus tours in New York City therefore constitute a relevant market and line of commence under Section 7 of the Clayton Act, Section 1 of the Sherman Act, and Section 340 of the Donnelly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formation of Twin America resulted in actual and immediate harm to consumers as it enabled Defendants to increase hop-on, hop-off bus tour prices by approximately 10 percent. The evidence demonstrates that at the time Coach and Stagecoach were negotiating a business combination with City Sights, Coach and Stagecoach consistently planned for and assumed that the merged firm would implement a 10 percent fare increase on Gray Line and City Sights tours and that Coach shared this assumption with City Sights. Coach ultimately increased Gray Line's hop-on, hop-off bus tour fares by </w:t>
      </w:r>
      <w:r>
        <w:rPr>
          <w:rFonts w:ascii="arial" w:eastAsia="arial" w:hAnsi="arial" w:cs="arial"/>
          <w:b/>
          <w:i w:val="0"/>
          <w:strike w:val="0"/>
          <w:noProof w:val="0"/>
          <w:color w:val="000000"/>
          <w:position w:val="0"/>
          <w:sz w:val="20"/>
          <w:u w:val="none"/>
          <w:vertAlign w:val="baseline"/>
        </w:rPr>
        <w:t> [*16429] </w:t>
      </w:r>
      <w:r>
        <w:rPr>
          <w:rFonts w:ascii="arial" w:eastAsia="arial" w:hAnsi="arial" w:cs="arial"/>
          <w:b w:val="0"/>
          <w:i w:val="0"/>
          <w:strike w:val="0"/>
          <w:noProof w:val="0"/>
          <w:color w:val="000000"/>
          <w:position w:val="0"/>
          <w:sz w:val="20"/>
          <w:u w:val="none"/>
          <w:vertAlign w:val="baseline"/>
        </w:rPr>
        <w:t xml:space="preserve"> approximately 10 percent shortly before executing the joint venture and Defendants increased City Sights's fares to match the Gray Line increase shortly after consummation. Defendants sustained the Gray Line and City Sights fare increases in the years following Twin America's formation and raised prices further in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years prior to the joint venture, Coach and City Sights were each other's main rival and consumers benefited from the improved products and services that resulted from the fierce and direct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them. This head-to-head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which intensified over time, was eliminated when Defendants merged their hop-on, hop-off bus tour operations. In addition, the formation of Twin America substantially increased concentration in an already highly concentrated market. Concentration is typically measured by the Herfindahl-Hirschman Index ("HHI"). The more concentrated a market, and the more a transaction would increase concentration in a market, the more likely it is that a transaction would result in a meaningful reduction in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Markets in which the HHI is in excess of 2500 points are considered highly concentrated, and a transaction that increases concentration by more than 200 points in such a market is presumed likely to enhance market power. In the year prior to the joint venture's formation, Gray Line had an approximately 63 percent market share, City Sights had an approximately 37 percent share, and a third firm had a less than one percent share, resulting in an HHI of 5271. The formation of Twin America created an effective monopoly with an approximately 99 percent market share and increased the market's HHI by 4599 to 9870. Based on the pre- and post-transaction market concentration measures, Twin America's formation is presumed likely to enhance market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Entry and expansion into the relevant market has not been, and is not likely to be, timely or sufficient to counteract the joint venture's anticompetitive effects. For more than three years following Twin America's formation, there was no new entry or expansion in the New York City hop-on, hop-off bus tour market and Defendants sustained their early 2009 price increases. Entry that has occurred since 2012 has also failed to roll back Defendants' price increases and has been insufficient to constrain Twin America's exercise of market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most significant barrier to entry in the hop-on, hop-off bus tour market is the requirement that an entrant obtain authorizations from the New York City Department of Transportation ("NYCDOT") for each location where it wishes to stop to load and unload passengers on its tour. Both Gray Line and City Sights have long held large portfolios of bus stop authorizations that enable them to stop at or in close proximity to virtually all of New York City's top attractions and neighborhoods, providing Defendants with a distinct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over other operators in the market. Gray Line and City Sights obtained these bus stop authorizations without difficulty years before their joint venture because NYCDOT awarded the bus stops on a "first come, first served" basis. Recent entrants, by contrast, have faced persistent difficulties securing bus stop authorizations at or sufficiently near key tourist attractions to be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with Twin America as NYCDOT has denied the overwhelming majority of bus stops applied for since Twin America's formation. Most of the stops sought by the entrants--particularly those at or in close proximity to top tourist attractions--are now at capacity or are otherwise unavailable, leaving Twin America with the dominant share of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-meaningful stops. The chronic denial of bus stop authorizations has blocked some firms from entering the market altogether and prevented those that have entered from replicating the scale and strength of either City Sights or Gray Line prior to the joint venture. Without needed bus stops, some entrants stop at key attractions on an unauthorized basis, creating the risk of an enforcement action that could curtail their operations at any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Efficiencies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formation of Twin America has not resulted in, and is unlikely to result in, cognizable, merger-specific efficiencies that have been passed through to consumers on a sufficient scale to offset Twin America's anticompetitive effects.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EXPLANATION OF THE PROPOSED FINAL JUDGMENT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Divestiture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Final Judgment remedies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alleged in the Complaint by requiring Twin America to relinquish to the NYCDOT the complete set of City Sights bus stop authorizations in Manhattan so that other firms are better positioned to obtain the bus stop authorizations needed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more effectively with Twin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Here, the most intractable barrier to entry is the inability of new firms to obtain bus stop authorizations from NYCDOT at or in sufficient proximity to New York City's top attractions and neighborhoods. The divestiture significantly eases this entry barrier by increasing NYCDOT's inventory of bus stops and freeing up capacity at locations throughout Manhattan, including the locations most sought by recent entrants. Notably, City Sights's set of approximately 50 bus stop authorizations includes highly-coveted stops surrounding key tourist attractions such as Times Square, the Empire State Building, and Battery Park that are critical to operating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hop-on, hop-off bus tour. By relinquishing the City Sights bus stop authorizations to NYCDOT, the city agency charged with managing bus stop authorizations, the proposed Final Judgment increases availability of stops, especially at key attractions, that rival firms can use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against Twin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Final Judgment requires Defendants to complete the relinquishment of the City Sights bus stop authorizations by May 1, 2015, prior to the start of the busy summer tourist season. Twin America will continue to hold Gray Line's pre-existing bus stop authorizations for its own hop-on, hop-off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Final Judgment prohibits Defendants from applying for or obtaining bus stop authorizations for hop-on, hop-off bus tours at the locations of the divested City Sights bus stop authorizations for a period of five years. However, after May 1, 2016, if NYCDOT revokes a bus stop authorization currently granted to a Twin America affiliate other than City Sights, the proposed Final Judgment allows Defendants to apply for a bus stop authorization at the location of a divested City Sights bus stop authorization that is at or in close proximity to the bus stop authorization that NYCDOT has revoked.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Disgorgement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Final Judgment also requires Defendants to disgorge $ 7.5 million in profits obtained as a result of their unlawful formation of Twin America. Disgorgement is an equitable remedy that seeks to "depriv[e] violators of the fruits of their illegal conduct" by "forc[ing] a defendant to give up the amount by which he was unjustly enriched." </w:t>
      </w:r>
      <w:hyperlink r:id="rId13" w:history="1">
        <w:r>
          <w:rPr>
            <w:rFonts w:ascii="arial" w:eastAsia="arial" w:hAnsi="arial" w:cs="arial"/>
            <w:b w:val="0"/>
            <w:i/>
            <w:strike w:val="0"/>
            <w:noProof w:val="0"/>
            <w:color w:val="0077CC"/>
            <w:position w:val="0"/>
            <w:sz w:val="20"/>
            <w:u w:val="single"/>
            <w:vertAlign w:val="baseline"/>
          </w:rPr>
          <w:t>SEC v. Contorinis, 743 F.3d 296, 301 (2d Cir. 2014)</w:t>
        </w:r>
      </w:hyperlink>
      <w:r>
        <w:rPr>
          <w:rFonts w:ascii="arial" w:eastAsia="arial" w:hAnsi="arial" w:cs="arial"/>
          <w:b w:val="0"/>
          <w:i w:val="0"/>
          <w:strike w:val="0"/>
          <w:noProof w:val="0"/>
          <w:color w:val="000000"/>
          <w:position w:val="0"/>
          <w:sz w:val="20"/>
          <w:u w:val="none"/>
          <w:vertAlign w:val="baseline"/>
        </w:rPr>
        <w:t xml:space="preserve"> (internal quotation marks omitted). By preventing unjust enrichment, disgorgement has </w:t>
      </w:r>
      <w:r>
        <w:rPr>
          <w:rFonts w:ascii="arial" w:eastAsia="arial" w:hAnsi="arial" w:cs="arial"/>
          <w:b/>
          <w:i w:val="0"/>
          <w:strike w:val="0"/>
          <w:noProof w:val="0"/>
          <w:color w:val="000000"/>
          <w:position w:val="0"/>
          <w:sz w:val="20"/>
          <w:u w:val="none"/>
          <w:vertAlign w:val="baseline"/>
        </w:rPr>
        <w:t> [*16430] </w:t>
      </w:r>
      <w:r>
        <w:rPr>
          <w:rFonts w:ascii="arial" w:eastAsia="arial" w:hAnsi="arial" w:cs="arial"/>
          <w:b w:val="0"/>
          <w:i w:val="0"/>
          <w:strike w:val="0"/>
          <w:noProof w:val="0"/>
          <w:color w:val="000000"/>
          <w:position w:val="0"/>
          <w:sz w:val="20"/>
          <w:u w:val="none"/>
          <w:vertAlign w:val="baseline"/>
        </w:rPr>
        <w:t xml:space="preserve"> the forward-looking "effect of deterring subsequent fraud." </w:t>
      </w:r>
      <w:hyperlink r:id="rId14" w:history="1">
        <w:r>
          <w:rPr>
            <w:rFonts w:ascii="arial" w:eastAsia="arial" w:hAnsi="arial" w:cs="arial"/>
            <w:b w:val="0"/>
            <w:i/>
            <w:strike w:val="0"/>
            <w:noProof w:val="0"/>
            <w:color w:val="0077CC"/>
            <w:position w:val="0"/>
            <w:sz w:val="20"/>
            <w:u w:val="single"/>
            <w:vertAlign w:val="baseline"/>
          </w:rPr>
          <w:t>SEC v. Cavanagh, 445 F.3d 105, 117 (2d Cir. 2006).</w:t>
        </w:r>
      </w:hyperlink>
      <w:r>
        <w:rPr>
          <w:rFonts w:ascii="arial" w:eastAsia="arial" w:hAnsi="arial" w:cs="arial"/>
          <w:b w:val="0"/>
          <w:i w:val="0"/>
          <w:strike w:val="0"/>
          <w:noProof w:val="0"/>
          <w:color w:val="000000"/>
          <w:position w:val="0"/>
          <w:sz w:val="20"/>
          <w:u w:val="none"/>
          <w:vertAlign w:val="baseline"/>
        </w:rPr>
        <w:t xml:space="preserve"> Disgorgement is a "distinctly public-regarding remedy," </w:t>
      </w:r>
      <w:hyperlink r:id="rId15" w:history="1">
        <w:r>
          <w:rPr>
            <w:rFonts w:ascii="arial" w:eastAsia="arial" w:hAnsi="arial" w:cs="arial"/>
            <w:b w:val="0"/>
            <w:i/>
            <w:strike w:val="0"/>
            <w:noProof w:val="0"/>
            <w:color w:val="0077CC"/>
            <w:position w:val="0"/>
            <w:sz w:val="20"/>
            <w:u w:val="single"/>
            <w:vertAlign w:val="baseline"/>
          </w:rPr>
          <w:t>FTC v. Bronson Partners, LLC, 654 F.3d 359, 372 (2d Cir. 2011),</w:t>
        </w:r>
      </w:hyperlink>
      <w:r>
        <w:rPr>
          <w:rFonts w:ascii="arial" w:eastAsia="arial" w:hAnsi="arial" w:cs="arial"/>
          <w:b w:val="0"/>
          <w:i w:val="0"/>
          <w:strike w:val="0"/>
          <w:noProof w:val="0"/>
          <w:color w:val="000000"/>
          <w:position w:val="0"/>
          <w:sz w:val="20"/>
          <w:u w:val="none"/>
          <w:vertAlign w:val="baseline"/>
        </w:rPr>
        <w:t xml:space="preserve"> whose "emphasis [is] on public protection, as opposed to simple compensatory relief," </w:t>
      </w:r>
      <w:hyperlink r:id="rId14" w:history="1">
        <w:r>
          <w:rPr>
            <w:rFonts w:ascii="arial" w:eastAsia="arial" w:hAnsi="arial" w:cs="arial"/>
            <w:b w:val="0"/>
            <w:i/>
            <w:strike w:val="0"/>
            <w:noProof w:val="0"/>
            <w:color w:val="0077CC"/>
            <w:position w:val="0"/>
            <w:sz w:val="20"/>
            <w:u w:val="single"/>
            <w:vertAlign w:val="baseline"/>
          </w:rPr>
          <w:t>Cavanagh, 445 F.3d at 117.</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"Unless a statute in so many words, or by a necessary and inescapable inference, restricts the court's jurisdiction in equity," a district court's ability to exercise the full powers of equity jurisdiction, including disgorgement, "is not to be denied or limited." </w:t>
      </w:r>
      <w:hyperlink r:id="rId16" w:history="1">
        <w:r>
          <w:rPr>
            <w:rFonts w:ascii="arial" w:eastAsia="arial" w:hAnsi="arial" w:cs="arial"/>
            <w:b w:val="0"/>
            <w:i/>
            <w:strike w:val="0"/>
            <w:noProof w:val="0"/>
            <w:color w:val="0077CC"/>
            <w:position w:val="0"/>
            <w:sz w:val="20"/>
            <w:u w:val="single"/>
            <w:vertAlign w:val="baseline"/>
          </w:rPr>
          <w:t>Porter v. Warner Holding Co., 328 U.S. 395, 398 (1946);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17" w:history="1">
        <w:r>
          <w:rPr>
            <w:rFonts w:ascii="arial" w:eastAsia="arial" w:hAnsi="arial" w:cs="arial"/>
            <w:b w:val="0"/>
            <w:i/>
            <w:strike w:val="0"/>
            <w:noProof w:val="0"/>
            <w:color w:val="0077CC"/>
            <w:position w:val="0"/>
            <w:sz w:val="20"/>
            <w:u w:val="single"/>
            <w:vertAlign w:val="baseline"/>
          </w:rPr>
          <w:t>Mitchell v. Robert De Mario Jewelry, Inc., 361 U.S. 288, 289, 291-92 (1960)</w:t>
        </w:r>
      </w:hyperlink>
      <w:r>
        <w:rPr>
          <w:rFonts w:ascii="arial" w:eastAsia="arial" w:hAnsi="arial" w:cs="arial"/>
          <w:b w:val="0"/>
          <w:i w:val="0"/>
          <w:strike w:val="0"/>
          <w:noProof w:val="0"/>
          <w:color w:val="000000"/>
          <w:position w:val="0"/>
          <w:sz w:val="20"/>
          <w:u w:val="none"/>
          <w:vertAlign w:val="baseline"/>
        </w:rPr>
        <w:t xml:space="preserve"> ("When Congress entrusts to an equity court the enforcement of prohibitions contained in a regulatory enactment, it must be taken to have acted cognizant of the historic power of equity to provide complete relief in light of the statutory purposes."). The Second Circuit has long affirmed the ability of district courts to award disgorgement in government enforcement actions redressing statutory violations. </w:t>
      </w:r>
      <w:r>
        <w:rPr>
          <w:rFonts w:ascii="arial" w:eastAsia="arial" w:hAnsi="arial" w:cs="arial"/>
          <w:b w:val="0"/>
          <w:i/>
          <w:strike w:val="0"/>
          <w:noProof w:val="0"/>
          <w:color w:val="000000"/>
          <w:position w:val="0"/>
          <w:sz w:val="20"/>
          <w:u w:val="none"/>
          <w:vertAlign w:val="baseline"/>
        </w:rPr>
        <w:t xml:space="preserve">See </w:t>
      </w:r>
      <w:hyperlink r:id="rId18" w:history="1">
        <w:r>
          <w:rPr>
            <w:rFonts w:ascii="arial" w:eastAsia="arial" w:hAnsi="arial" w:cs="arial"/>
            <w:b w:val="0"/>
            <w:i/>
            <w:strike w:val="0"/>
            <w:noProof w:val="0"/>
            <w:color w:val="0077CC"/>
            <w:position w:val="0"/>
            <w:sz w:val="20"/>
            <w:u w:val="single"/>
            <w:vertAlign w:val="baseline"/>
          </w:rPr>
          <w:t>SEC v. Commonwealth Chem. Sec., Inc., 574 F.2d 90, 102-03 (2d Cir. 1978)</w:t>
        </w:r>
      </w:hyperlink>
      <w:r>
        <w:rPr>
          <w:rFonts w:ascii="arial" w:eastAsia="arial" w:hAnsi="arial" w:cs="arial"/>
          <w:b w:val="0"/>
          <w:i w:val="0"/>
          <w:strike w:val="0"/>
          <w:noProof w:val="0"/>
          <w:color w:val="000000"/>
          <w:position w:val="0"/>
          <w:sz w:val="20"/>
          <w:u w:val="none"/>
          <w:vertAlign w:val="baseline"/>
        </w:rPr>
        <w:t xml:space="preserve"> (Friendly, J.); </w:t>
      </w:r>
      <w:hyperlink r:id="rId15" w:history="1">
        <w:r>
          <w:rPr>
            <w:rFonts w:ascii="arial" w:eastAsia="arial" w:hAnsi="arial" w:cs="arial"/>
            <w:b w:val="0"/>
            <w:i/>
            <w:strike w:val="0"/>
            <w:noProof w:val="0"/>
            <w:color w:val="0077CC"/>
            <w:position w:val="0"/>
            <w:sz w:val="20"/>
            <w:u w:val="single"/>
            <w:vertAlign w:val="baseline"/>
          </w:rPr>
          <w:t>Bronson Partners, 654 F.3d at 365-67, 372-74.</w:t>
        </w:r>
      </w:hyperlink>
      <w:r>
        <w:rPr>
          <w:rFonts w:ascii="arial" w:eastAsia="arial" w:hAnsi="arial" w:cs="arial"/>
          <w:b w:val="0"/>
          <w:i w:val="0"/>
          <w:strike w:val="0"/>
          <w:noProof w:val="0"/>
          <w:color w:val="000000"/>
          <w:position w:val="0"/>
          <w:sz w:val="20"/>
          <w:u w:val="none"/>
          <w:vertAlign w:val="baseline"/>
        </w:rPr>
        <w:t xml:space="preserve"> This Court has also specifically recognized the government's ability to seek disgorgement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suits brought under the Sherman Act. </w:t>
      </w:r>
      <w:r>
        <w:rPr>
          <w:rFonts w:ascii="arial" w:eastAsia="arial" w:hAnsi="arial" w:cs="arial"/>
          <w:b w:val="0"/>
          <w:i/>
          <w:strike w:val="0"/>
          <w:noProof w:val="0"/>
          <w:color w:val="000000"/>
          <w:position w:val="0"/>
          <w:sz w:val="20"/>
          <w:u w:val="none"/>
          <w:vertAlign w:val="baseline"/>
        </w:rPr>
        <w:t xml:space="preserve">See </w:t>
      </w:r>
      <w:hyperlink r:id="rId19" w:history="1">
        <w:r>
          <w:rPr>
            <w:rFonts w:ascii="arial" w:eastAsia="arial" w:hAnsi="arial" w:cs="arial"/>
            <w:b w:val="0"/>
            <w:i/>
            <w:strike w:val="0"/>
            <w:noProof w:val="0"/>
            <w:color w:val="0077CC"/>
            <w:position w:val="0"/>
            <w:sz w:val="20"/>
            <w:u w:val="single"/>
            <w:vertAlign w:val="baseline"/>
          </w:rPr>
          <w:t>United States v. Keyspan Corp., 763 F. Supp. 2d 633, 638-41 (S.D.N.Y. 2011)</w:t>
        </w:r>
      </w:hyperlink>
      <w:r>
        <w:rPr>
          <w:rFonts w:ascii="arial" w:eastAsia="arial" w:hAnsi="arial" w:cs="arial"/>
          <w:b w:val="0"/>
          <w:i w:val="0"/>
          <w:strike w:val="0"/>
          <w:noProof w:val="0"/>
          <w:color w:val="000000"/>
          <w:position w:val="0"/>
          <w:sz w:val="20"/>
          <w:u w:val="none"/>
          <w:vertAlign w:val="baseline"/>
        </w:rPr>
        <w:t xml:space="preserve"> (Pauley, J.) (holding that an award of disgorgement "comports with established principles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Although </w:t>
      </w:r>
      <w:r>
        <w:rPr>
          <w:rFonts w:ascii="arial" w:eastAsia="arial" w:hAnsi="arial" w:cs="arial"/>
          <w:b w:val="0"/>
          <w:i/>
          <w:strike w:val="0"/>
          <w:noProof w:val="0"/>
          <w:color w:val="000000"/>
          <w:position w:val="0"/>
          <w:sz w:val="20"/>
          <w:u w:val="none"/>
          <w:vertAlign w:val="baseline"/>
        </w:rPr>
        <w:t>Keyspan</w:t>
      </w:r>
      <w:r>
        <w:rPr>
          <w:rFonts w:ascii="arial" w:eastAsia="arial" w:hAnsi="arial" w:cs="arial"/>
          <w:b w:val="0"/>
          <w:i w:val="0"/>
          <w:strike w:val="0"/>
          <w:noProof w:val="0"/>
          <w:color w:val="000000"/>
          <w:position w:val="0"/>
          <w:sz w:val="20"/>
          <w:u w:val="none"/>
          <w:vertAlign w:val="baseline"/>
        </w:rPr>
        <w:t xml:space="preserve"> considered the availability of disgorgement under the Sherman Act, its analysis also applies to the Clayton Act, as both Acts similarly authorize the United States to bring suits "in equity to prevent and restrain such violations."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Sherman Act, </w:t>
      </w:r>
      <w:hyperlink r:id="rId20" w:history="1">
        <w:r>
          <w:rPr>
            <w:rFonts w:ascii="arial" w:eastAsia="arial" w:hAnsi="arial" w:cs="arial"/>
            <w:b w:val="0"/>
            <w:i/>
            <w:strike w:val="0"/>
            <w:noProof w:val="0"/>
            <w:color w:val="0077CC"/>
            <w:position w:val="0"/>
            <w:sz w:val="20"/>
            <w:u w:val="single"/>
            <w:vertAlign w:val="baseline"/>
          </w:rPr>
          <w:t>15 U.S.C. 4</w:t>
        </w:r>
      </w:hyperlink>
      <w:r>
        <w:rPr>
          <w:rFonts w:ascii="arial" w:eastAsia="arial" w:hAnsi="arial" w:cs="arial"/>
          <w:b w:val="0"/>
          <w:i w:val="0"/>
          <w:strike w:val="0"/>
          <w:noProof w:val="0"/>
          <w:color w:val="000000"/>
          <w:position w:val="0"/>
          <w:sz w:val="20"/>
          <w:u w:val="none"/>
          <w:vertAlign w:val="baseline"/>
        </w:rPr>
        <w:t xml:space="preserve"> (2012)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Clayton Act, </w:t>
      </w:r>
      <w:hyperlink r:id="rId21" w:history="1">
        <w:r>
          <w:rPr>
            <w:rFonts w:ascii="arial" w:eastAsia="arial" w:hAnsi="arial" w:cs="arial"/>
            <w:b w:val="0"/>
            <w:i/>
            <w:strike w:val="0"/>
            <w:noProof w:val="0"/>
            <w:color w:val="0077CC"/>
            <w:position w:val="0"/>
            <w:sz w:val="20"/>
            <w:u w:val="single"/>
            <w:vertAlign w:val="baseline"/>
          </w:rPr>
          <w:t>15 U.S.C. 25</w:t>
        </w:r>
      </w:hyperlink>
      <w:r>
        <w:rPr>
          <w:rFonts w:ascii="arial" w:eastAsia="arial" w:hAnsi="arial" w:cs="arial"/>
          <w:b w:val="0"/>
          <w:i w:val="0"/>
          <w:strike w:val="0"/>
          <w:noProof w:val="0"/>
          <w:color w:val="000000"/>
          <w:position w:val="0"/>
          <w:sz w:val="20"/>
          <w:u w:val="none"/>
          <w:vertAlign w:val="baseline"/>
        </w:rPr>
        <w:t xml:space="preserve"> (2012). </w:t>
      </w:r>
      <w:r>
        <w:rPr>
          <w:rFonts w:ascii="arial" w:eastAsia="arial" w:hAnsi="arial" w:cs="arial"/>
          <w:b w:val="0"/>
          <w:i/>
          <w:strike w:val="0"/>
          <w:noProof w:val="0"/>
          <w:color w:val="000000"/>
          <w:position w:val="0"/>
          <w:sz w:val="20"/>
          <w:u w:val="none"/>
          <w:vertAlign w:val="baseline"/>
        </w:rPr>
        <w:t xml:space="preserve">See also </w:t>
      </w:r>
      <w:hyperlink r:id="rId22" w:history="1">
        <w:r>
          <w:rPr>
            <w:rFonts w:ascii="arial" w:eastAsia="arial" w:hAnsi="arial" w:cs="arial"/>
            <w:b w:val="0"/>
            <w:i/>
            <w:strike w:val="0"/>
            <w:noProof w:val="0"/>
            <w:color w:val="0077CC"/>
            <w:position w:val="0"/>
            <w:sz w:val="20"/>
            <w:u w:val="single"/>
            <w:vertAlign w:val="baseline"/>
          </w:rPr>
          <w:t>People v. Ernst &amp; Young LLP, 980 N.Y.S.2d 456, 457 (N.Y. App. Div. 2014)</w:t>
        </w:r>
      </w:hyperlink>
      <w:r>
        <w:rPr>
          <w:rFonts w:ascii="arial" w:eastAsia="arial" w:hAnsi="arial" w:cs="arial"/>
          <w:b w:val="0"/>
          <w:i w:val="0"/>
          <w:strike w:val="0"/>
          <w:noProof w:val="0"/>
          <w:color w:val="000000"/>
          <w:position w:val="0"/>
          <w:sz w:val="20"/>
          <w:u w:val="none"/>
          <w:vertAlign w:val="baseline"/>
        </w:rPr>
        <w:t xml:space="preserve"> (affirming authority of New York Attorney General to obtain disgorgement under New York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in </w:t>
      </w:r>
      <w:r>
        <w:rPr>
          <w:rFonts w:ascii="arial" w:eastAsia="arial" w:hAnsi="arial" w:cs="arial"/>
          <w:b w:val="0"/>
          <w:i/>
          <w:strike w:val="0"/>
          <w:noProof w:val="0"/>
          <w:color w:val="000000"/>
          <w:position w:val="0"/>
          <w:sz w:val="20"/>
          <w:u w:val="none"/>
          <w:vertAlign w:val="baseline"/>
        </w:rPr>
        <w:t>Keyspan,</w:t>
      </w:r>
      <w:r>
        <w:rPr>
          <w:rFonts w:ascii="arial" w:eastAsia="arial" w:hAnsi="arial" w:cs="arial"/>
          <w:b w:val="0"/>
          <w:i w:val="0"/>
          <w:strike w:val="0"/>
          <w:noProof w:val="0"/>
          <w:color w:val="000000"/>
          <w:position w:val="0"/>
          <w:sz w:val="20"/>
          <w:u w:val="none"/>
          <w:vertAlign w:val="baseline"/>
        </w:rPr>
        <w:t xml:space="preserve"> there are specific "exigencies of [this] case" that justify a disgorgement award. </w:t>
      </w:r>
      <w:hyperlink r:id="rId23" w:history="1">
        <w:r>
          <w:rPr>
            <w:rFonts w:ascii="arial" w:eastAsia="arial" w:hAnsi="arial" w:cs="arial"/>
            <w:b w:val="0"/>
            <w:i/>
            <w:strike w:val="0"/>
            <w:noProof w:val="0"/>
            <w:color w:val="0077CC"/>
            <w:position w:val="0"/>
            <w:sz w:val="20"/>
            <w:u w:val="single"/>
            <w:vertAlign w:val="baseline"/>
          </w:rPr>
          <w:t>Keyspan, 765 F. Supp. 2d at 640.</w:t>
        </w:r>
      </w:hyperlink>
      <w:r>
        <w:rPr>
          <w:rFonts w:ascii="arial" w:eastAsia="arial" w:hAnsi="arial" w:cs="arial"/>
          <w:b w:val="0"/>
          <w:i w:val="0"/>
          <w:strike w:val="0"/>
          <w:noProof w:val="0"/>
          <w:color w:val="000000"/>
          <w:position w:val="0"/>
          <w:sz w:val="20"/>
          <w:u w:val="none"/>
          <w:vertAlign w:val="baseline"/>
        </w:rPr>
        <w:t xml:space="preserve"> Unlike the majority of Section 7 challenges brought by the United States, which are brought prior to the closing of the challenged transaction, this case involves a consummated joint venture that resulted in actual and substantial consumer harm. As alleged in the Complaint, Defendants not only increased prices by approximately 10 percent in connection with the joint venture's formation, they reaped these illegal profits for years while forestalling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By awarding disgorgement of Defendants' ill-gotten gain, the proposed Final Judgment will prevent Defendants from being unjustly enriched by their conduct and deter Defendants and others from engaging in similar conduct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determining the appropriate disgorgement amount, Plaintiffs accounted for the fact that Defendants have agreed to pay $ 19 million to settle related private class action lawsuits that were brought after Plaintiffs filed this action. n5 Because Plaintiffs' reasonable approximation of profits connected to Defendants'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violations exceeds $ 19 million, Plaintiffs determined that disgorgement of an additional amount was appropriate. The $ 7.5 million in disgorgement provided under the proposed Final Judgment will be divided equally between the United States and the State of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See Order and Final Judgment Approving </w:t>
      </w:r>
      <w:r>
        <w:rPr>
          <w:rFonts w:ascii="arial" w:eastAsia="arial" w:hAnsi="arial" w:cs="arial"/>
          <w:b w:val="0"/>
          <w:i/>
          <w:strike w:val="0"/>
          <w:noProof w:val="0"/>
          <w:color w:val="000000"/>
          <w:position w:val="0"/>
          <w:sz w:val="20"/>
          <w:u w:val="none"/>
          <w:vertAlign w:val="baseline"/>
        </w:rPr>
        <w:t xml:space="preserve">In Re NYC Bus Tour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Litigation</w:t>
      </w:r>
      <w:r>
        <w:rPr>
          <w:rFonts w:ascii="arial" w:eastAsia="arial" w:hAnsi="arial" w:cs="arial"/>
          <w:b w:val="0"/>
          <w:i w:val="0"/>
          <w:strike w:val="0"/>
          <w:noProof w:val="0"/>
          <w:color w:val="000000"/>
          <w:position w:val="0"/>
          <w:sz w:val="20"/>
          <w:u w:val="none"/>
          <w:vertAlign w:val="baseline"/>
        </w:rPr>
        <w:t xml:space="preserve"> Class Action Settlement, </w:t>
      </w:r>
      <w:r>
        <w:rPr>
          <w:rFonts w:ascii="arial" w:eastAsia="arial" w:hAnsi="arial" w:cs="arial"/>
          <w:b w:val="0"/>
          <w:i/>
          <w:strike w:val="0"/>
          <w:noProof w:val="0"/>
          <w:color w:val="000000"/>
          <w:position w:val="0"/>
          <w:sz w:val="20"/>
          <w:u w:val="none"/>
          <w:vertAlign w:val="baseline"/>
        </w:rPr>
        <w:t xml:space="preserve">In re NYC Bus Tour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Litigation,</w:t>
      </w:r>
      <w:r>
        <w:rPr>
          <w:rFonts w:ascii="arial" w:eastAsia="arial" w:hAnsi="arial" w:cs="arial"/>
          <w:b w:val="0"/>
          <w:i w:val="0"/>
          <w:strike w:val="0"/>
          <w:noProof w:val="0"/>
          <w:color w:val="000000"/>
          <w:position w:val="0"/>
          <w:sz w:val="20"/>
          <w:u w:val="none"/>
          <w:vertAlign w:val="baseline"/>
        </w:rPr>
        <w:t xml:space="preserve"> No. 13-CV-0711 (ALC) (GWG) (S.D.N.Y. Oct. 21, 2014) (Dkt. No. 122).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Compliance and Inspection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Sections IX and XI of the proposed Final Judgment establish procedures to ensure that Defendants comply with the terms of the Final Judgment and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Section IX grants the United States or the State of New York access, upon reasonable notice, to Defendants' records and documents relating to matters contained in the Final Judgment. Defendants must also make their personnel available for interviews or depositions regarding such matters. In addition, upon request, Defendants must prepare written reports or responses to written interrogatories relating to matters contained in the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ensure future compliance with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Section XI of the proposed Final Judgment requires Defendants Coach and Twin America to maintain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compliance program for each company's officers and directors with responsibility for any operations in the United States, as well as any other employee with pricing or decision-making responsibility for the provision of hop-on, hop-off tour bus tours in New York City.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compliance program will provide these personnel with annual training on the meaning and requirements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shall be delivered by an attorney with experience in the field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Section XI also requires Defendants Coach and Twin America to designate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Compliance Officer to oversee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compliance program.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Compliance Officer must communicate annually to all employees that they may disclose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Compliance Officer, without reprisal, information concerning any potential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Notification of Future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X of the proposed Final Judgment requires Defendants to provide advance notification of any future acquisition of any assets or of any interest, including any financial, security, loan, equity or management interest, in a person providing hop-on, hop-off bus tours in New York City during the term of the Final Judgment regardless of whether the transaction meets the reporting thresholds set forth in the HSR Act. The proposed Final Judgment further provides for waiting periods and opportunities for the United States or the State of New York to obtain additional information analogous to the provisions of the HSR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Stipulation and Order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Defendants have entered into a Stipulation and Order, which was filed simultaneously with the Court, to ensure that the City Sights bus stop authorizations are maintained until Defendants have relinquished them to NYCDOT.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REMEDIES AVAILABLE TO POTENTIAL PRIVATE LITIGANTS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 of the Clayton Act, </w:t>
      </w:r>
      <w:hyperlink r:id="rId24" w:history="1">
        <w:r>
          <w:rPr>
            <w:rFonts w:ascii="arial" w:eastAsia="arial" w:hAnsi="arial" w:cs="arial"/>
            <w:b w:val="0"/>
            <w:i/>
            <w:strike w:val="0"/>
            <w:noProof w:val="0"/>
            <w:color w:val="0077CC"/>
            <w:position w:val="0"/>
            <w:sz w:val="20"/>
            <w:u w:val="single"/>
            <w:vertAlign w:val="baseline"/>
          </w:rPr>
          <w:t>15 U.S.C. 15</w:t>
        </w:r>
      </w:hyperlink>
      <w:r>
        <w:rPr>
          <w:rFonts w:ascii="arial" w:eastAsia="arial" w:hAnsi="arial" w:cs="arial"/>
          <w:b w:val="0"/>
          <w:i w:val="0"/>
          <w:strike w:val="0"/>
          <w:noProof w:val="0"/>
          <w:color w:val="000000"/>
          <w:position w:val="0"/>
          <w:sz w:val="20"/>
          <w:u w:val="none"/>
          <w:vertAlign w:val="baseline"/>
        </w:rPr>
        <w:t xml:space="preserve">, provides that any person who has been injured as a result of conduct prohibited by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may bring suit in federal court to recover three times the damages the person has suffered, as well as costs and reasonable attorneys' fees. Entry of the proposed Final Judgment will neither impair nor assist the bringing of any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 action. Under the provisions of Section 5(a) of the Clayton Act, </w:t>
      </w:r>
      <w:hyperlink r:id="rId8" w:history="1">
        <w:r>
          <w:rPr>
            <w:rFonts w:ascii="arial" w:eastAsia="arial" w:hAnsi="arial" w:cs="arial"/>
            <w:b w:val="0"/>
            <w:i/>
            <w:strike w:val="0"/>
            <w:noProof w:val="0"/>
            <w:color w:val="0077CC"/>
            <w:position w:val="0"/>
            <w:sz w:val="20"/>
            <w:u w:val="single"/>
            <w:vertAlign w:val="baseline"/>
          </w:rPr>
          <w:t>15 U.S.C. 16(a)</w:t>
        </w:r>
      </w:hyperlink>
      <w:r>
        <w:rPr>
          <w:rFonts w:ascii="arial" w:eastAsia="arial" w:hAnsi="arial" w:cs="arial"/>
          <w:b w:val="0"/>
          <w:i w:val="0"/>
          <w:strike w:val="0"/>
          <w:noProof w:val="0"/>
          <w:color w:val="000000"/>
          <w:position w:val="0"/>
          <w:sz w:val="20"/>
          <w:u w:val="none"/>
          <w:vertAlign w:val="baseline"/>
        </w:rPr>
        <w:t xml:space="preserve">, the proposed Final Judgment has no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effect in any subsequent private lawsuit that may be brought against the Defendants. n6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As previously noted, a related private class action lawsuit seeking damages from Defendants was settled in October 2014.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Order and Final Judgment Approving </w:t>
      </w:r>
      <w:r>
        <w:rPr>
          <w:rFonts w:ascii="arial" w:eastAsia="arial" w:hAnsi="arial" w:cs="arial"/>
          <w:b w:val="0"/>
          <w:i/>
          <w:strike w:val="0"/>
          <w:noProof w:val="0"/>
          <w:color w:val="000000"/>
          <w:position w:val="0"/>
          <w:sz w:val="20"/>
          <w:u w:val="none"/>
          <w:vertAlign w:val="baseline"/>
        </w:rPr>
        <w:t xml:space="preserve">In Re NYC Bus Tour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Litigation</w:t>
      </w:r>
      <w:r>
        <w:rPr>
          <w:rFonts w:ascii="arial" w:eastAsia="arial" w:hAnsi="arial" w:cs="arial"/>
          <w:b w:val="0"/>
          <w:i w:val="0"/>
          <w:strike w:val="0"/>
          <w:noProof w:val="0"/>
          <w:color w:val="000000"/>
          <w:position w:val="0"/>
          <w:sz w:val="20"/>
          <w:u w:val="none"/>
          <w:vertAlign w:val="baseline"/>
        </w:rPr>
        <w:t xml:space="preserve"> Class Action Settlement, </w:t>
      </w:r>
      <w:r>
        <w:rPr>
          <w:rFonts w:ascii="arial" w:eastAsia="arial" w:hAnsi="arial" w:cs="arial"/>
          <w:b w:val="0"/>
          <w:i/>
          <w:strike w:val="0"/>
          <w:noProof w:val="0"/>
          <w:color w:val="000000"/>
          <w:position w:val="0"/>
          <w:sz w:val="20"/>
          <w:u w:val="none"/>
          <w:vertAlign w:val="baseline"/>
        </w:rPr>
        <w:t xml:space="preserve">In re NYC Bus Tour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Litigation,</w:t>
      </w:r>
      <w:r>
        <w:rPr>
          <w:rFonts w:ascii="arial" w:eastAsia="arial" w:hAnsi="arial" w:cs="arial"/>
          <w:b w:val="0"/>
          <w:i w:val="0"/>
          <w:strike w:val="0"/>
          <w:noProof w:val="0"/>
          <w:color w:val="000000"/>
          <w:position w:val="0"/>
          <w:sz w:val="20"/>
          <w:u w:val="none"/>
          <w:vertAlign w:val="baseline"/>
        </w:rPr>
        <w:t xml:space="preserve"> No. 13-CV-0711 (ALC) (GWG) (S.D.N.Y. Oct. 21, 2014) (Dkt. No. 122). </w:t>
      </w:r>
      <w:r>
        <w:rPr>
          <w:rFonts w:ascii="arial" w:eastAsia="arial" w:hAnsi="arial" w:cs="arial"/>
          <w:b/>
          <w:i w:val="0"/>
          <w:strike w:val="0"/>
          <w:noProof w:val="0"/>
          <w:color w:val="000000"/>
          <w:position w:val="0"/>
          <w:sz w:val="20"/>
          <w:u w:val="none"/>
          <w:vertAlign w:val="baseline"/>
        </w:rPr>
        <w:t> [*16431]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PROCEDURES AVAILABLE FOR MODIFICATION OF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Parties have stipulated that the proposed Final Judgment may be entered by the Court after compliance with the provisions of the APPA, provided that the United States has not withdrawn its consent. The APPA conditions entry upon the Court's determination that the proposed Final Judgment is in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APPA provides a period of at least sixty (60) days preceding the effective date of the proposed Final Judgment within which any person may submit to the United States written comments regarding the proposed Final Judgment. Any person who wishes to comment should do so within sixty (60) days of the date of publication of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or the last date of publication in a newspaper of the summary of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whichever is later. All comments received during this period will be considered by the United States Department of Justice, which remains free to withdraw its consent to the proposed Final Judgment at any time prior to the Court's entry of judgment. The comments and the response of the United States will be filed with the Court. In addition, comments will be posted on the 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internet Web site and, under certain circumstances,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Written comments should be submitted to: William H. Stallings, Chief, Transportation, Energy &amp; Agriculture Section,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United States Department of Justice, 450 Fifth Street NW., Suite 8000, Washington, DC 20530.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Final Judgment provides that the Court retains jurisdiction over this action, and the parties may apply to the Court for any order necessary or appropriate for the modification, interpretation, or enforcement of the Final Judgment.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ALTERNATIVES TO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considered, as an alternative to the proposed Final Judgment, a full trial on the merits against Defendants. The proposed Final Judgment, however, avoids the time, expense, and uncertainty of a full trial on the merits. The United States also considered whether the City Sights bus stop authorizations could be transferred on a standalone basis or with other assets to an upfront buyer, but determined that such a transaction was not feasible in light of current NYCDOT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policies governing bus stop authorizations. The United States is satisfied that the remedies set forth in the proposed Final Judgment will sufficiently restore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lost when Defendants formed their joint venture and will appropriately deprive Defendants of ill-gotten gains.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STANDARD OF REVIEW UNDER THE APPA FOR THE PROPOSED FINAL JUDGMENT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Clayton and Sherman Acts, as amended by the APPA, require that proposed consent judgments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brought by the United States be subject to a sixty-day comment period, after which the court shall determine whether entry of the proposed Final Judgment "is in the public interest." </w:t>
      </w:r>
      <w:hyperlink r:id="rId8" w:history="1">
        <w:r>
          <w:rPr>
            <w:rFonts w:ascii="arial" w:eastAsia="arial" w:hAnsi="arial" w:cs="arial"/>
            <w:b w:val="0"/>
            <w:i/>
            <w:strike w:val="0"/>
            <w:noProof w:val="0"/>
            <w:color w:val="0077CC"/>
            <w:position w:val="0"/>
            <w:sz w:val="20"/>
            <w:u w:val="single"/>
            <w:vertAlign w:val="baseline"/>
          </w:rPr>
          <w:t>15 U.S.C. 16(e)(1)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5" w:history="1">
        <w:r>
          <w:rPr>
            <w:rFonts w:ascii="arial" w:eastAsia="arial" w:hAnsi="arial" w:cs="arial"/>
            <w:b w:val="0"/>
            <w:i/>
            <w:strike w:val="0"/>
            <w:noProof w:val="0"/>
            <w:color w:val="0077CC"/>
            <w:position w:val="0"/>
            <w:sz w:val="20"/>
            <w:u w:val="single"/>
            <w:vertAlign w:val="baseline"/>
          </w:rPr>
          <w:t>United States v. Int'l Bus. Mach. Corp., 163 F.3d 737, 740 (2d Cir. 1998).</w:t>
        </w:r>
      </w:hyperlink>
      <w:r>
        <w:rPr>
          <w:rFonts w:ascii="arial" w:eastAsia="arial" w:hAnsi="arial" w:cs="arial"/>
          <w:b w:val="0"/>
          <w:i w:val="0"/>
          <w:strike w:val="0"/>
          <w:noProof w:val="0"/>
          <w:color w:val="000000"/>
          <w:position w:val="0"/>
          <w:sz w:val="20"/>
          <w:u w:val="none"/>
          <w:vertAlign w:val="baseline"/>
        </w:rPr>
        <w:t xml:space="preserve"> In making a "public interest" determination, the court, in accordance with the statute as amended in 2004, is required to consider: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of such judgment, including termination of alleged violations, provisions for enforcement and modification, duration of relief sought, anticipated effects of alternative remedies actually considered, whether its terms are ambiguous, and any other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considerations bearing upon the adequacy of such judgment that the court deems necessary to a determination of whether the consent judgment is in the public interest;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the impact of entry of such judgment upon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relevant market or markets, upon the public generally and individuals alleging specific injury from the violations set forth in the complaint including consideration of the public benefit, if any, to be derived from a determination of the issues at trial.</w:t>
      </w:r>
    </w:p>
    <w:p>
      <w:pPr>
        <w:keepNext w:val="0"/>
        <w:spacing w:before="240" w:after="0" w:line="260" w:lineRule="atLeast"/>
        <w:ind w:left="0" w:right="0" w:firstLine="0"/>
        <w:jc w:val="both"/>
      </w:pPr>
      <w:hyperlink r:id="rId8" w:history="1">
        <w:r>
          <w:rPr>
            <w:rFonts w:ascii="arial" w:eastAsia="arial" w:hAnsi="arial" w:cs="arial"/>
            <w:b w:val="0"/>
            <w:i/>
            <w:strike w:val="0"/>
            <w:color w:val="0077CC"/>
            <w:sz w:val="20"/>
            <w:u w:val="single"/>
            <w:vertAlign w:val="baseline"/>
          </w:rPr>
          <w:t>15 U.S.C. 16(e)(1)(A)</w:t>
        </w:r>
      </w:hyperlink>
      <w:r>
        <w:rPr>
          <w:rFonts w:ascii="arial" w:eastAsia="arial" w:hAnsi="arial" w:cs="arial"/>
          <w:b w:val="0"/>
          <w:i w:val="0"/>
          <w:strike w:val="0"/>
          <w:noProof w:val="0"/>
          <w:color w:val="000000"/>
          <w:position w:val="0"/>
          <w:sz w:val="20"/>
          <w:u w:val="none"/>
          <w:vertAlign w:val="baseline"/>
        </w:rPr>
        <w:t xml:space="preserve"> &amp; (B); </w:t>
      </w:r>
      <w:r>
        <w:rPr>
          <w:rFonts w:ascii="arial" w:eastAsia="arial" w:hAnsi="arial" w:cs="arial"/>
          <w:b w:val="0"/>
          <w:i/>
          <w:strike w:val="0"/>
          <w:noProof w:val="0"/>
          <w:color w:val="000000"/>
          <w:position w:val="0"/>
          <w:sz w:val="20"/>
          <w:u w:val="none"/>
          <w:vertAlign w:val="baseline"/>
        </w:rPr>
        <w:t xml:space="preserve">see generally </w:t>
      </w:r>
      <w:hyperlink r:id="rId19" w:history="1">
        <w:r>
          <w:rPr>
            <w:rFonts w:ascii="arial" w:eastAsia="arial" w:hAnsi="arial" w:cs="arial"/>
            <w:b w:val="0"/>
            <w:i/>
            <w:strike w:val="0"/>
            <w:noProof w:val="0"/>
            <w:color w:val="0077CC"/>
            <w:position w:val="0"/>
            <w:sz w:val="20"/>
            <w:u w:val="single"/>
            <w:vertAlign w:val="baseline"/>
          </w:rPr>
          <w:t>Keyspan, 763 F. Supp. 2d at 637-38</w:t>
        </w:r>
      </w:hyperlink>
      <w:r>
        <w:rPr>
          <w:rFonts w:ascii="arial" w:eastAsia="arial" w:hAnsi="arial" w:cs="arial"/>
          <w:b w:val="0"/>
          <w:i w:val="0"/>
          <w:strike w:val="0"/>
          <w:noProof w:val="0"/>
          <w:color w:val="000000"/>
          <w:position w:val="0"/>
          <w:sz w:val="20"/>
          <w:u w:val="none"/>
          <w:vertAlign w:val="baseline"/>
        </w:rPr>
        <w:t xml:space="preserve"> (discussing Tunney Act standards); </w:t>
      </w:r>
      <w:hyperlink r:id="rId26" w:history="1">
        <w:r>
          <w:rPr>
            <w:rFonts w:ascii="arial" w:eastAsia="arial" w:hAnsi="arial" w:cs="arial"/>
            <w:b w:val="0"/>
            <w:i/>
            <w:strike w:val="0"/>
            <w:noProof w:val="0"/>
            <w:color w:val="0077CC"/>
            <w:position w:val="0"/>
            <w:sz w:val="20"/>
            <w:u w:val="single"/>
            <w:vertAlign w:val="baseline"/>
          </w:rPr>
          <w:t>United States v. SBC Commc'ns, Inc., 489 F. Supp. 2d 1 (D.D.C. 2007)</w:t>
        </w:r>
      </w:hyperlink>
      <w:r>
        <w:rPr>
          <w:rFonts w:ascii="arial" w:eastAsia="arial" w:hAnsi="arial" w:cs="arial"/>
          <w:b w:val="0"/>
          <w:i w:val="0"/>
          <w:strike w:val="0"/>
          <w:noProof w:val="0"/>
          <w:color w:val="000000"/>
          <w:position w:val="0"/>
          <w:sz w:val="20"/>
          <w:u w:val="none"/>
          <w:vertAlign w:val="baseline"/>
        </w:rPr>
        <w:t xml:space="preserve"> (similar). In considering these statutory factors, the court's inquiry is necessarily a limited one as the government is entitled to "broad discretion to settle with the defendant within the reaches of the public interest." </w:t>
      </w:r>
      <w:hyperlink r:id="rId27" w:history="1">
        <w:r>
          <w:rPr>
            <w:rFonts w:ascii="arial" w:eastAsia="arial" w:hAnsi="arial" w:cs="arial"/>
            <w:b w:val="0"/>
            <w:i/>
            <w:strike w:val="0"/>
            <w:noProof w:val="0"/>
            <w:color w:val="0077CC"/>
            <w:position w:val="0"/>
            <w:sz w:val="20"/>
            <w:u w:val="single"/>
            <w:vertAlign w:val="baseline"/>
          </w:rPr>
          <w:t>United States v. Microsoft Corp., 56 F.3d 1448, 1461 (D.C. Cir. 1995);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accord </w:t>
      </w:r>
      <w:hyperlink r:id="rId28" w:history="1">
        <w:r>
          <w:rPr>
            <w:rFonts w:ascii="arial" w:eastAsia="arial" w:hAnsi="arial" w:cs="arial"/>
            <w:b w:val="0"/>
            <w:i/>
            <w:strike w:val="0"/>
            <w:noProof w:val="0"/>
            <w:color w:val="0077CC"/>
            <w:position w:val="0"/>
            <w:sz w:val="20"/>
            <w:u w:val="single"/>
            <w:vertAlign w:val="baseline"/>
          </w:rPr>
          <w:t>United States v. Alex. Brown &amp; Sons, Inc., 963 F. Supp. 235, 238 (S.D.N.Y. 1997)</w:t>
        </w:r>
      </w:hyperlink>
      <w:r>
        <w:rPr>
          <w:rFonts w:ascii="arial" w:eastAsia="arial" w:hAnsi="arial" w:cs="arial"/>
          <w:b w:val="0"/>
          <w:i w:val="0"/>
          <w:strike w:val="0"/>
          <w:noProof w:val="0"/>
          <w:color w:val="000000"/>
          <w:position w:val="0"/>
          <w:sz w:val="20"/>
          <w:u w:val="none"/>
          <w:vertAlign w:val="baseline"/>
        </w:rPr>
        <w:t xml:space="preserve"> (quoting </w:t>
      </w:r>
      <w:hyperlink r:id="rId27" w:history="1">
        <w:r>
          <w:rPr>
            <w:rFonts w:ascii="arial" w:eastAsia="arial" w:hAnsi="arial" w:cs="arial"/>
            <w:b w:val="0"/>
            <w:i/>
            <w:strike w:val="0"/>
            <w:noProof w:val="0"/>
            <w:color w:val="0077CC"/>
            <w:position w:val="0"/>
            <w:sz w:val="20"/>
            <w:u w:val="single"/>
            <w:vertAlign w:val="baseline"/>
          </w:rPr>
          <w:t>Microsoft, 56 F.3d at 1460),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aff'd sub nom. </w:t>
      </w:r>
      <w:hyperlink r:id="rId29" w:history="1">
        <w:r>
          <w:rPr>
            <w:rFonts w:ascii="arial" w:eastAsia="arial" w:hAnsi="arial" w:cs="arial"/>
            <w:b w:val="0"/>
            <w:i/>
            <w:strike w:val="0"/>
            <w:noProof w:val="0"/>
            <w:color w:val="0077CC"/>
            <w:position w:val="0"/>
            <w:sz w:val="20"/>
            <w:u w:val="single"/>
            <w:vertAlign w:val="baseline"/>
          </w:rPr>
          <w:t>United States v. Bleznak, 153 F.3d 16 (2d Cir. 1998);</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Keyspan, 763 F. Supp. 2d at 637</w:t>
        </w:r>
      </w:hyperlink>
      <w:r>
        <w:rPr>
          <w:rFonts w:ascii="arial" w:eastAsia="arial" w:hAnsi="arial" w:cs="arial"/>
          <w:b w:val="0"/>
          <w:i w:val="0"/>
          <w:strike w:val="0"/>
          <w:noProof w:val="0"/>
          <w:color w:val="000000"/>
          <w:position w:val="0"/>
          <w:sz w:val="20"/>
          <w:u w:val="none"/>
          <w:vertAlign w:val="baseline"/>
        </w:rPr>
        <w:t xml:space="preserve"> (same).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APPA a court considers, among other things, the relationship between the remedy secured and the specific allegations set forth in the government's complaint, whether the decree is sufficiently clear, whether enforcement mechanisms are sufficient, and whether the decree may positively harm third parties. </w:t>
      </w:r>
      <w:r>
        <w:rPr>
          <w:rFonts w:ascii="arial" w:eastAsia="arial" w:hAnsi="arial" w:cs="arial"/>
          <w:b w:val="0"/>
          <w:i/>
          <w:strike w:val="0"/>
          <w:noProof w:val="0"/>
          <w:color w:val="000000"/>
          <w:position w:val="0"/>
          <w:sz w:val="20"/>
          <w:u w:val="none"/>
          <w:vertAlign w:val="baseline"/>
        </w:rPr>
        <w:t xml:space="preserve">See </w:t>
      </w:r>
      <w:hyperlink r:id="rId27" w:history="1">
        <w:r>
          <w:rPr>
            <w:rFonts w:ascii="arial" w:eastAsia="arial" w:hAnsi="arial" w:cs="arial"/>
            <w:b w:val="0"/>
            <w:i/>
            <w:strike w:val="0"/>
            <w:noProof w:val="0"/>
            <w:color w:val="0077CC"/>
            <w:position w:val="0"/>
            <w:sz w:val="20"/>
            <w:u w:val="single"/>
            <w:vertAlign w:val="baseline"/>
          </w:rPr>
          <w:t>Microsoft, 56 F.3d at 1458-62.</w:t>
        </w:r>
      </w:hyperlink>
      <w:r>
        <w:rPr>
          <w:rFonts w:ascii="arial" w:eastAsia="arial" w:hAnsi="arial" w:cs="arial"/>
          <w:b w:val="0"/>
          <w:i w:val="0"/>
          <w:strike w:val="0"/>
          <w:noProof w:val="0"/>
          <w:color w:val="000000"/>
          <w:position w:val="0"/>
          <w:sz w:val="20"/>
          <w:u w:val="none"/>
          <w:vertAlign w:val="baseline"/>
        </w:rPr>
        <w:t xml:space="preserve"> With respect to the adequacy of the relief secured by the decree, the court's function is "not to determine whether the proposed [d]ecree results in the balance of rights and liabilities that is the one that will </w:t>
      </w:r>
      <w:r>
        <w:rPr>
          <w:rFonts w:ascii="arial" w:eastAsia="arial" w:hAnsi="arial" w:cs="arial"/>
          <w:b w:val="0"/>
          <w:i/>
          <w:strike w:val="0"/>
          <w:noProof w:val="0"/>
          <w:color w:val="000000"/>
          <w:position w:val="0"/>
          <w:sz w:val="20"/>
          <w:u w:val="none"/>
          <w:vertAlign w:val="baseline"/>
        </w:rPr>
        <w:t>best</w:t>
      </w:r>
      <w:r>
        <w:rPr>
          <w:rFonts w:ascii="arial" w:eastAsia="arial" w:hAnsi="arial" w:cs="arial"/>
          <w:b w:val="0"/>
          <w:i w:val="0"/>
          <w:strike w:val="0"/>
          <w:noProof w:val="0"/>
          <w:color w:val="000000"/>
          <w:position w:val="0"/>
          <w:sz w:val="20"/>
          <w:u w:val="none"/>
          <w:vertAlign w:val="baseline"/>
        </w:rPr>
        <w:t xml:space="preserve"> serve society, but only to ensure that the resulting settlement is within the reaches of the public interest." </w:t>
      </w:r>
      <w:hyperlink r:id="rId19" w:history="1">
        <w:r>
          <w:rPr>
            <w:rFonts w:ascii="arial" w:eastAsia="arial" w:hAnsi="arial" w:cs="arial"/>
            <w:b w:val="0"/>
            <w:i/>
            <w:strike w:val="0"/>
            <w:noProof w:val="0"/>
            <w:color w:val="0077CC"/>
            <w:position w:val="0"/>
            <w:sz w:val="20"/>
            <w:u w:val="single"/>
            <w:vertAlign w:val="baseline"/>
          </w:rPr>
          <w:t>Keyspan, 763 F. Supp. 2d at 637</w:t>
        </w:r>
      </w:hyperlink>
      <w:r>
        <w:rPr>
          <w:rFonts w:ascii="arial" w:eastAsia="arial" w:hAnsi="arial" w:cs="arial"/>
          <w:b w:val="0"/>
          <w:i w:val="0"/>
          <w:strike w:val="0"/>
          <w:noProof w:val="0"/>
          <w:color w:val="000000"/>
          <w:position w:val="0"/>
          <w:sz w:val="20"/>
          <w:u w:val="none"/>
          <w:vertAlign w:val="baseline"/>
        </w:rPr>
        <w:t xml:space="preserve"> (quoting </w:t>
      </w:r>
      <w:hyperlink r:id="rId28" w:history="1">
        <w:r>
          <w:rPr>
            <w:rFonts w:ascii="arial" w:eastAsia="arial" w:hAnsi="arial" w:cs="arial"/>
            <w:b w:val="0"/>
            <w:i/>
            <w:strike w:val="0"/>
            <w:noProof w:val="0"/>
            <w:color w:val="0077CC"/>
            <w:position w:val="0"/>
            <w:sz w:val="20"/>
            <w:u w:val="single"/>
            <w:vertAlign w:val="baseline"/>
          </w:rPr>
          <w:t>Alex. Brown &amp; Sons, 963 F. Supp. at 238)</w:t>
        </w:r>
      </w:hyperlink>
      <w:r>
        <w:rPr>
          <w:rFonts w:ascii="arial" w:eastAsia="arial" w:hAnsi="arial" w:cs="arial"/>
          <w:b w:val="0"/>
          <w:i w:val="0"/>
          <w:strike w:val="0"/>
          <w:noProof w:val="0"/>
          <w:color w:val="000000"/>
          <w:position w:val="0"/>
          <w:sz w:val="20"/>
          <w:u w:val="none"/>
          <w:vertAlign w:val="baseline"/>
        </w:rPr>
        <w:t xml:space="preserve"> (internal quotations omitted). In making this determination, "[t]he [c]ourt is not permitted to reject the proposed remedies merely because the court believes other remedies are preferable. [Rather], the relevant inquiry is whether there is a factual foundation for the government's decision such that its conclusions regarding the proposed settlement are reasonable." </w:t>
      </w:r>
      <w:r>
        <w:rPr>
          <w:rFonts w:ascii="arial" w:eastAsia="arial" w:hAnsi="arial" w:cs="arial"/>
          <w:b w:val="0"/>
          <w:i/>
          <w:strike w:val="0"/>
          <w:noProof w:val="0"/>
          <w:color w:val="000000"/>
          <w:position w:val="0"/>
          <w:sz w:val="20"/>
          <w:u w:val="none"/>
          <w:vertAlign w:val="baseline"/>
        </w:rPr>
        <w:t>Keyspan,</w:t>
      </w:r>
      <w:r>
        <w:rPr>
          <w:rFonts w:ascii="arial" w:eastAsia="arial" w:hAnsi="arial" w:cs="arial"/>
          <w:b w:val="0"/>
          <w:i w:val="0"/>
          <w:strike w:val="0"/>
          <w:noProof w:val="0"/>
          <w:color w:val="000000"/>
          <w:position w:val="0"/>
          <w:sz w:val="20"/>
          <w:u w:val="none"/>
          <w:vertAlign w:val="baseline"/>
        </w:rPr>
        <w:t xml:space="preserve"> at 637-38 (quoting </w:t>
      </w:r>
      <w:hyperlink r:id="rId30" w:history="1">
        <w:r>
          <w:rPr>
            <w:rFonts w:ascii="arial" w:eastAsia="arial" w:hAnsi="arial" w:cs="arial"/>
            <w:b w:val="0"/>
            <w:i/>
            <w:strike w:val="0"/>
            <w:noProof w:val="0"/>
            <w:color w:val="0077CC"/>
            <w:position w:val="0"/>
            <w:sz w:val="20"/>
            <w:u w:val="single"/>
            <w:vertAlign w:val="baseline"/>
          </w:rPr>
          <w:t>United States v. Abitibi-Consolidated Inc., 584 F. Supp. 2d 162, 165 (D.D.C. 2008));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31" w:history="1">
        <w:r>
          <w:rPr>
            <w:rFonts w:ascii="arial" w:eastAsia="arial" w:hAnsi="arial" w:cs="arial"/>
            <w:b w:val="0"/>
            <w:i/>
            <w:strike w:val="0"/>
            <w:noProof w:val="0"/>
            <w:color w:val="0077CC"/>
            <w:position w:val="0"/>
            <w:sz w:val="20"/>
            <w:u w:val="single"/>
            <w:vertAlign w:val="baseline"/>
          </w:rPr>
          <w:t>United States v. Apple, Inc., 889 F. Supp. 2d 623, 631 (S.D.N.Y. 2012)</w:t>
        </w:r>
      </w:hyperlink>
      <w:r>
        <w:rPr>
          <w:rFonts w:ascii="arial" w:eastAsia="arial" w:hAnsi="arial" w:cs="arial"/>
          <w:b w:val="0"/>
          <w:i w:val="0"/>
          <w:strike w:val="0"/>
          <w:noProof w:val="0"/>
          <w:color w:val="000000"/>
          <w:position w:val="0"/>
          <w:sz w:val="20"/>
          <w:u w:val="none"/>
          <w:vertAlign w:val="baseline"/>
        </w:rPr>
        <w:t xml:space="preserve"> (Cote, J.); </w:t>
      </w:r>
      <w:hyperlink r:id="rId28" w:history="1">
        <w:r>
          <w:rPr>
            <w:rFonts w:ascii="arial" w:eastAsia="arial" w:hAnsi="arial" w:cs="arial"/>
            <w:b w:val="0"/>
            <w:i/>
            <w:strike w:val="0"/>
            <w:noProof w:val="0"/>
            <w:color w:val="0077CC"/>
            <w:position w:val="0"/>
            <w:sz w:val="20"/>
            <w:u w:val="single"/>
            <w:vertAlign w:val="baseline"/>
          </w:rPr>
          <w:t>Alex. Brown &amp; Sons, 963 F. Supp. at 238.</w:t>
        </w:r>
      </w:hyperlink>
      <w:r>
        <w:rPr>
          <w:rFonts w:ascii="arial" w:eastAsia="arial" w:hAnsi="arial" w:cs="arial"/>
          <w:b w:val="0"/>
          <w:i w:val="0"/>
          <w:strike w:val="0"/>
          <w:noProof w:val="0"/>
          <w:color w:val="000000"/>
          <w:position w:val="0"/>
          <w:sz w:val="20"/>
          <w:u w:val="none"/>
          <w:vertAlign w:val="baseline"/>
        </w:rPr>
        <w:t xml:space="preserve"> n7 The government's predictions about the efficacy of its remedies are entitled to deference. </w:t>
      </w:r>
      <w:hyperlink r:id="rId31" w:history="1">
        <w:r>
          <w:rPr>
            <w:rFonts w:ascii="arial" w:eastAsia="arial" w:hAnsi="arial" w:cs="arial"/>
            <w:b w:val="0"/>
            <w:i/>
            <w:strike w:val="0"/>
            <w:noProof w:val="0"/>
            <w:color w:val="0077CC"/>
            <w:position w:val="0"/>
            <w:sz w:val="20"/>
            <w:u w:val="single"/>
            <w:vertAlign w:val="baseline"/>
          </w:rPr>
          <w:t>Apple, 889 F. Supp. 2d at 631</w:t>
        </w:r>
      </w:hyperlink>
      <w:r>
        <w:rPr>
          <w:rFonts w:ascii="arial" w:eastAsia="arial" w:hAnsi="arial" w:cs="arial"/>
          <w:b w:val="0"/>
          <w:i w:val="0"/>
          <w:strike w:val="0"/>
          <w:noProof w:val="0"/>
          <w:color w:val="000000"/>
          <w:position w:val="0"/>
          <w:sz w:val="20"/>
          <w:u w:val="none"/>
          <w:vertAlign w:val="baseline"/>
        </w:rPr>
        <w:t xml:space="preserve"> (citation omitted). n8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 xml:space="preserve">See also </w:t>
      </w:r>
      <w:hyperlink r:id="rId32" w:history="1">
        <w:r>
          <w:rPr>
            <w:rFonts w:ascii="arial" w:eastAsia="arial" w:hAnsi="arial" w:cs="arial"/>
            <w:b w:val="0"/>
            <w:i/>
            <w:strike w:val="0"/>
            <w:noProof w:val="0"/>
            <w:color w:val="0077CC"/>
            <w:position w:val="0"/>
            <w:sz w:val="20"/>
            <w:u w:val="single"/>
            <w:vertAlign w:val="baseline"/>
          </w:rPr>
          <w:t>United States v. Bechtel Corp., 648 F.2d 660, 666 (9th Cir. 1981)</w:t>
        </w:r>
      </w:hyperlink>
      <w:r>
        <w:rPr>
          <w:rFonts w:ascii="arial" w:eastAsia="arial" w:hAnsi="arial" w:cs="arial"/>
          <w:b w:val="0"/>
          <w:i w:val="0"/>
          <w:strike w:val="0"/>
          <w:noProof w:val="0"/>
          <w:color w:val="000000"/>
          <w:position w:val="0"/>
          <w:sz w:val="20"/>
          <w:u w:val="none"/>
          <w:vertAlign w:val="baseline"/>
        </w:rPr>
        <w:t xml:space="preserve"> ("The balancing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social and political interests affected by a proposed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consent decree must be left, in the first instance, to the discretion of the Attorney General."); </w:t>
      </w:r>
      <w:r>
        <w:rPr>
          <w:rFonts w:ascii="arial" w:eastAsia="arial" w:hAnsi="arial" w:cs="arial"/>
          <w:b w:val="0"/>
          <w:i/>
          <w:strike w:val="0"/>
          <w:noProof w:val="0"/>
          <w:color w:val="000000"/>
          <w:position w:val="0"/>
          <w:sz w:val="20"/>
          <w:u w:val="none"/>
          <w:vertAlign w:val="baseline"/>
        </w:rPr>
        <w:t xml:space="preserve">see generally </w:t>
      </w:r>
      <w:hyperlink r:id="rId27" w:history="1">
        <w:r>
          <w:rPr>
            <w:rFonts w:ascii="arial" w:eastAsia="arial" w:hAnsi="arial" w:cs="arial"/>
            <w:b w:val="0"/>
            <w:i/>
            <w:strike w:val="0"/>
            <w:noProof w:val="0"/>
            <w:color w:val="0077CC"/>
            <w:position w:val="0"/>
            <w:sz w:val="20"/>
            <w:u w:val="single"/>
            <w:vertAlign w:val="baseline"/>
          </w:rPr>
          <w:t>Microsoft, 56 F.3d at 1461</w:t>
        </w:r>
      </w:hyperlink>
      <w:r>
        <w:rPr>
          <w:rFonts w:ascii="arial" w:eastAsia="arial" w:hAnsi="arial" w:cs="arial"/>
          <w:b w:val="0"/>
          <w:i w:val="0"/>
          <w:strike w:val="0"/>
          <w:noProof w:val="0"/>
          <w:color w:val="000000"/>
          <w:position w:val="0"/>
          <w:sz w:val="20"/>
          <w:u w:val="none"/>
          <w:vertAlign w:val="baseline"/>
        </w:rPr>
        <w:t xml:space="preserve"> (discussing whether "the remedies [obtained in the decree are] so inconsonant with the allegations charged as to fall outside of the reaches of the public interest'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 xml:space="preserve">See </w:t>
      </w:r>
      <w:hyperlink r:id="rId27" w:history="1">
        <w:r>
          <w:rPr>
            <w:rFonts w:ascii="arial" w:eastAsia="arial" w:hAnsi="arial" w:cs="arial"/>
            <w:b w:val="0"/>
            <w:i/>
            <w:strike w:val="0"/>
            <w:noProof w:val="0"/>
            <w:color w:val="0077CC"/>
            <w:position w:val="0"/>
            <w:sz w:val="20"/>
            <w:u w:val="single"/>
            <w:vertAlign w:val="baseline"/>
          </w:rPr>
          <w:t>Microsoft, 56 F.3d at 1461</w:t>
        </w:r>
      </w:hyperlink>
      <w:r>
        <w:rPr>
          <w:rFonts w:ascii="arial" w:eastAsia="arial" w:hAnsi="arial" w:cs="arial"/>
          <w:b w:val="0"/>
          <w:i w:val="0"/>
          <w:strike w:val="0"/>
          <w:noProof w:val="0"/>
          <w:color w:val="000000"/>
          <w:position w:val="0"/>
          <w:sz w:val="20"/>
          <w:u w:val="none"/>
          <w:vertAlign w:val="baseline"/>
        </w:rPr>
        <w:t xml:space="preserve"> (noting the need for courts to be "deferential to the government's predictions as to the effect of the proposed remedies"); </w:t>
      </w:r>
      <w:hyperlink r:id="rId33" w:history="1">
        <w:r>
          <w:rPr>
            <w:rFonts w:ascii="arial" w:eastAsia="arial" w:hAnsi="arial" w:cs="arial"/>
            <w:b w:val="0"/>
            <w:i/>
            <w:strike w:val="0"/>
            <w:noProof w:val="0"/>
            <w:color w:val="0077CC"/>
            <w:position w:val="0"/>
            <w:sz w:val="20"/>
            <w:u w:val="single"/>
            <w:vertAlign w:val="baseline"/>
          </w:rPr>
          <w:t>United States v. Archer-Daniels-Midland Co., 272 F. Supp. 2d 1, 6 (D.D.C. 2003)</w:t>
        </w:r>
      </w:hyperlink>
      <w:r>
        <w:rPr>
          <w:rFonts w:ascii="arial" w:eastAsia="arial" w:hAnsi="arial" w:cs="arial"/>
          <w:b w:val="0"/>
          <w:i w:val="0"/>
          <w:strike w:val="0"/>
          <w:noProof w:val="0"/>
          <w:color w:val="000000"/>
          <w:position w:val="0"/>
          <w:sz w:val="20"/>
          <w:u w:val="none"/>
          <w:vertAlign w:val="baseline"/>
        </w:rPr>
        <w:t xml:space="preserve"> (noting that the court should grant due respect to the United States' prediction as to the effect of proposed remedies, its perception of the market structure, and its views of the nature of the case).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Courts have greater flexibility in approving proposed consent decrees than in crafting their own decrees following a finding of liability in a litigated matter. "[A] proposed decree must be approved even if it falls short of the remedy the court would impose on its own, as long as it falls within the range of acceptability or is within the reaches of public interest.' " </w:t>
      </w:r>
      <w:r>
        <w:rPr>
          <w:rFonts w:ascii="arial" w:eastAsia="arial" w:hAnsi="arial" w:cs="arial"/>
          <w:b w:val="0"/>
          <w:i/>
          <w:strike w:val="0"/>
          <w:noProof w:val="0"/>
          <w:color w:val="000000"/>
          <w:position w:val="0"/>
          <w:sz w:val="20"/>
          <w:u w:val="none"/>
          <w:vertAlign w:val="baseline"/>
        </w:rPr>
        <w:t>United States v. Am. Tel. &amp; Tel. Co., 552 F. Supp. 131, 151 (D.D.C. 1982)</w:t>
      </w:r>
      <w:r>
        <w:rPr>
          <w:rFonts w:ascii="arial" w:eastAsia="arial" w:hAnsi="arial" w:cs="arial"/>
          <w:b w:val="0"/>
          <w:i w:val="0"/>
          <w:strike w:val="0"/>
          <w:noProof w:val="0"/>
          <w:color w:val="000000"/>
          <w:position w:val="0"/>
          <w:sz w:val="20"/>
          <w:u w:val="none"/>
          <w:vertAlign w:val="baseline"/>
        </w:rPr>
        <w:t xml:space="preserve"> (citations omitted) (quoting </w:t>
      </w:r>
      <w:hyperlink r:id="rId34" w:history="1">
        <w:r>
          <w:rPr>
            <w:rFonts w:ascii="arial" w:eastAsia="arial" w:hAnsi="arial" w:cs="arial"/>
            <w:b w:val="0"/>
            <w:i/>
            <w:strike w:val="0"/>
            <w:noProof w:val="0"/>
            <w:color w:val="0077CC"/>
            <w:position w:val="0"/>
            <w:sz w:val="20"/>
            <w:u w:val="single"/>
            <w:vertAlign w:val="baseline"/>
          </w:rPr>
          <w:t>United States v. Gillette Co., 406 F. Supp. 713, 716 (D. Mass. 1975)),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aff'd sub nom. </w:t>
      </w:r>
      <w:hyperlink r:id="rId35" w:history="1">
        <w:r>
          <w:rPr>
            <w:rFonts w:ascii="arial" w:eastAsia="arial" w:hAnsi="arial" w:cs="arial"/>
            <w:b w:val="0"/>
            <w:i/>
            <w:strike w:val="0"/>
            <w:noProof w:val="0"/>
            <w:color w:val="0077CC"/>
            <w:position w:val="0"/>
            <w:sz w:val="20"/>
            <w:u w:val="single"/>
            <w:vertAlign w:val="baseline"/>
          </w:rPr>
          <w:t>Maryland  v. United States, 460 U.S. 1001 (1983);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36" w:history="1">
        <w:r>
          <w:rPr>
            <w:rFonts w:ascii="arial" w:eastAsia="arial" w:hAnsi="arial" w:cs="arial"/>
            <w:b w:val="0"/>
            <w:i/>
            <w:strike w:val="0"/>
            <w:noProof w:val="0"/>
            <w:color w:val="0077CC"/>
            <w:position w:val="0"/>
            <w:sz w:val="20"/>
            <w:u w:val="single"/>
            <w:vertAlign w:val="baseline"/>
          </w:rPr>
          <w:t>United States v. U.S. Airways Group, Inc., 38 F. Supp. 3d 69, 76 (D.D.C. 2014)</w:t>
        </w:r>
      </w:hyperlink>
      <w:r>
        <w:rPr>
          <w:rFonts w:ascii="arial" w:eastAsia="arial" w:hAnsi="arial" w:cs="arial"/>
          <w:b w:val="0"/>
          <w:i w:val="0"/>
          <w:strike w:val="0"/>
          <w:noProof w:val="0"/>
          <w:color w:val="000000"/>
          <w:position w:val="0"/>
          <w:sz w:val="20"/>
          <w:u w:val="none"/>
          <w:vertAlign w:val="baseline"/>
        </w:rPr>
        <w:t xml:space="preserve"> (noting that room must be made for the government to grant concessions in the negotiation process for settlements); </w:t>
      </w:r>
      <w:r>
        <w:rPr>
          <w:rFonts w:ascii="arial" w:eastAsia="arial" w:hAnsi="arial" w:cs="arial"/>
          <w:b w:val="0"/>
          <w:i/>
          <w:strike w:val="0"/>
          <w:noProof w:val="0"/>
          <w:color w:val="000000"/>
          <w:position w:val="0"/>
          <w:sz w:val="20"/>
          <w:u w:val="none"/>
          <w:vertAlign w:val="baseline"/>
        </w:rPr>
        <w:t>United States v. Alcan Aluminum Ltd., 605 F. Supp. 619, 622 (W.D. Ky. 1985)</w:t>
      </w:r>
      <w:r>
        <w:rPr>
          <w:rFonts w:ascii="arial" w:eastAsia="arial" w:hAnsi="arial" w:cs="arial"/>
          <w:b w:val="0"/>
          <w:i w:val="0"/>
          <w:strike w:val="0"/>
          <w:noProof w:val="0"/>
          <w:color w:val="000000"/>
          <w:position w:val="0"/>
          <w:sz w:val="20"/>
          <w:u w:val="none"/>
          <w:vertAlign w:val="baseline"/>
        </w:rPr>
        <w:t xml:space="preserve"> (approving the consent decree even though the court would have imposed a greater remedy). To meet this standard, the United States "need only provide a factual basis for concluding that the settlements are reasonably adequate remedies for the alleged harms." </w:t>
      </w:r>
      <w:hyperlink r:id="rId26" w:history="1">
        <w:r>
          <w:rPr>
            <w:rFonts w:ascii="arial" w:eastAsia="arial" w:hAnsi="arial" w:cs="arial"/>
            <w:b w:val="0"/>
            <w:i/>
            <w:strike w:val="0"/>
            <w:noProof w:val="0"/>
            <w:color w:val="0077CC"/>
            <w:position w:val="0"/>
            <w:sz w:val="20"/>
            <w:u w:val="single"/>
            <w:vertAlign w:val="baseline"/>
          </w:rPr>
          <w:t>SBC Commc'ns, 489 F. Supp. 2d at 17.</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the court's role under the APPA is limited to reviewing the remedy in relationship to the violations that the United States has alleged in its Complaint, and does not authorize the court to "construct [its] own hypothetical case and then evaluate the decree against that case." </w:t>
      </w:r>
      <w:hyperlink r:id="rId27" w:history="1">
        <w:r>
          <w:rPr>
            <w:rFonts w:ascii="arial" w:eastAsia="arial" w:hAnsi="arial" w:cs="arial"/>
            <w:b w:val="0"/>
            <w:i/>
            <w:strike w:val="0"/>
            <w:noProof w:val="0"/>
            <w:color w:val="0077CC"/>
            <w:position w:val="0"/>
            <w:sz w:val="20"/>
            <w:u w:val="single"/>
            <w:vertAlign w:val="baseline"/>
          </w:rPr>
          <w:t>Microsoft, 56 F.3d at 1459;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19" w:history="1">
        <w:r>
          <w:rPr>
            <w:rFonts w:ascii="arial" w:eastAsia="arial" w:hAnsi="arial" w:cs="arial"/>
            <w:b w:val="0"/>
            <w:i/>
            <w:strike w:val="0"/>
            <w:noProof w:val="0"/>
            <w:color w:val="0077CC"/>
            <w:position w:val="0"/>
            <w:sz w:val="20"/>
            <w:u w:val="single"/>
            <w:vertAlign w:val="baseline"/>
          </w:rPr>
          <w:t>Keyspan, 763 F. Supp. 2d at 638</w:t>
        </w:r>
      </w:hyperlink>
      <w:r>
        <w:rPr>
          <w:rFonts w:ascii="arial" w:eastAsia="arial" w:hAnsi="arial" w:cs="arial"/>
          <w:b w:val="0"/>
          <w:i w:val="0"/>
          <w:strike w:val="0"/>
          <w:noProof w:val="0"/>
          <w:color w:val="000000"/>
          <w:position w:val="0"/>
          <w:sz w:val="20"/>
          <w:u w:val="none"/>
          <w:vertAlign w:val="baseline"/>
        </w:rPr>
        <w:t xml:space="preserve"> ("A court must limit its review to the issues in the complaint.") (citations omitted). Because the "court's authority to review the decree depends entirely on the government's exercising its prosecutorial discretion by bringing a case in the first place," it follows that "the court is only authorized to review the decree itself," and not to "effectively redraft the complaint" to inquire into other matters that the United States did not pursue. </w:t>
      </w:r>
      <w:hyperlink r:id="rId27" w:history="1">
        <w:r>
          <w:rPr>
            <w:rFonts w:ascii="arial" w:eastAsia="arial" w:hAnsi="arial" w:cs="arial"/>
            <w:b w:val="0"/>
            <w:i/>
            <w:strike w:val="0"/>
            <w:noProof w:val="0"/>
            <w:color w:val="0077CC"/>
            <w:position w:val="0"/>
            <w:sz w:val="20"/>
            <w:u w:val="single"/>
            <w:vertAlign w:val="baseline"/>
          </w:rPr>
          <w:t>Microsoft, 56 F.3d at 1459-60.</w:t>
        </w:r>
      </w:hyperlink>
      <w:r>
        <w:rPr>
          <w:rFonts w:ascii="arial" w:eastAsia="arial" w:hAnsi="arial" w:cs="arial"/>
          <w:b w:val="0"/>
          <w:i w:val="0"/>
          <w:strike w:val="0"/>
          <w:noProof w:val="0"/>
          <w:color w:val="000000"/>
          <w:position w:val="0"/>
          <w:sz w:val="20"/>
          <w:u w:val="none"/>
          <w:vertAlign w:val="baseline"/>
        </w:rPr>
        <w:t xml:space="preserve"> Courts "cannot look beyond the complaint in making the public interest determination unless the complaint is drafted so narrowly as to make a mockery of judicial power." </w:t>
      </w:r>
      <w:hyperlink r:id="rId26" w:history="1">
        <w:r>
          <w:rPr>
            <w:rFonts w:ascii="arial" w:eastAsia="arial" w:hAnsi="arial" w:cs="arial"/>
            <w:b w:val="0"/>
            <w:i/>
            <w:strike w:val="0"/>
            <w:noProof w:val="0"/>
            <w:color w:val="0077CC"/>
            <w:position w:val="0"/>
            <w:sz w:val="20"/>
            <w:u w:val="single"/>
            <w:vertAlign w:val="baseline"/>
          </w:rPr>
          <w:t>SBC Commc'ns, 489 F. Supp. 2d at 15.</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2004 amendments, Congress made clear its intent to preserve the practical benefits of utilizing consent decrees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adding the unambiguous instruction that "[n]othing in this section shall be construed to require the court to conduct an evidentiary hearing or to require the court to permit anyone to intervene." </w:t>
      </w:r>
      <w:hyperlink r:id="rId8" w:history="1">
        <w:r>
          <w:rPr>
            <w:rFonts w:ascii="arial" w:eastAsia="arial" w:hAnsi="arial" w:cs="arial"/>
            <w:b w:val="0"/>
            <w:i/>
            <w:strike w:val="0"/>
            <w:noProof w:val="0"/>
            <w:color w:val="0077CC"/>
            <w:position w:val="0"/>
            <w:sz w:val="20"/>
            <w:u w:val="single"/>
            <w:vertAlign w:val="baseline"/>
          </w:rPr>
          <w:t>15 U.S.C. 16(e)(2)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36" w:history="1">
        <w:r>
          <w:rPr>
            <w:rFonts w:ascii="arial" w:eastAsia="arial" w:hAnsi="arial" w:cs="arial"/>
            <w:b w:val="0"/>
            <w:i/>
            <w:strike w:val="0"/>
            <w:noProof w:val="0"/>
            <w:color w:val="0077CC"/>
            <w:position w:val="0"/>
            <w:sz w:val="20"/>
            <w:u w:val="single"/>
            <w:vertAlign w:val="baseline"/>
          </w:rPr>
          <w:t>U.S. Airways, 38 F. Supp. 3d at 76</w:t>
        </w:r>
      </w:hyperlink>
      <w:r>
        <w:rPr>
          <w:rFonts w:ascii="arial" w:eastAsia="arial" w:hAnsi="arial" w:cs="arial"/>
          <w:b w:val="0"/>
          <w:i w:val="0"/>
          <w:strike w:val="0"/>
          <w:noProof w:val="0"/>
          <w:color w:val="000000"/>
          <w:position w:val="0"/>
          <w:sz w:val="20"/>
          <w:u w:val="none"/>
          <w:vertAlign w:val="baseline"/>
        </w:rPr>
        <w:t xml:space="preserve"> (indicating that a court is not required to hold an evidentiary hearing or to permit intervenors as part of its review under the Tunney Act). The language wrote into the statute what Congress intended when it enacted the Tunney Act in 1974, as Senator Tunney explained: "[t]he court is nowhere compelled to go to trial or to engage in extended proceedings which might have the effect of vitiating the benefits of prompt and less costly settlement through the consent decree process." 119 Cong. Rec. 24,598 (1973) (statement of Sen. Tunney). Rather, the procedure for the public interest determination is left to the discretion of the court, with the recognition that the court's "scope of review remains sharply proscribed by precedent and the nature of Tunney Act proceedings." </w:t>
      </w:r>
      <w:hyperlink r:id="rId26" w:history="1">
        <w:r>
          <w:rPr>
            <w:rFonts w:ascii="arial" w:eastAsia="arial" w:hAnsi="arial" w:cs="arial"/>
            <w:b w:val="0"/>
            <w:i/>
            <w:strike w:val="0"/>
            <w:noProof w:val="0"/>
            <w:color w:val="0077CC"/>
            <w:position w:val="0"/>
            <w:sz w:val="20"/>
            <w:u w:val="single"/>
            <w:vertAlign w:val="baseline"/>
          </w:rPr>
          <w:t>SBC Commc'ns, 489 F. Supp. 2d at 11.</w:t>
        </w:r>
      </w:hyperlink>
      <w:r>
        <w:rPr>
          <w:rFonts w:ascii="arial" w:eastAsia="arial" w:hAnsi="arial" w:cs="arial"/>
          <w:b w:val="0"/>
          <w:i w:val="0"/>
          <w:strike w:val="0"/>
          <w:noProof w:val="0"/>
          <w:color w:val="000000"/>
          <w:position w:val="0"/>
          <w:sz w:val="20"/>
          <w:u w:val="none"/>
          <w:vertAlign w:val="baseline"/>
        </w:rPr>
        <w:t xml:space="preserve"> n9 A court can make its public interest determination based on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response to public comments alone. </w:t>
      </w:r>
      <w:hyperlink r:id="rId36" w:history="1">
        <w:r>
          <w:rPr>
            <w:rFonts w:ascii="arial" w:eastAsia="arial" w:hAnsi="arial" w:cs="arial"/>
            <w:b w:val="0"/>
            <w:i/>
            <w:strike w:val="0"/>
            <w:noProof w:val="0"/>
            <w:color w:val="0077CC"/>
            <w:position w:val="0"/>
            <w:sz w:val="20"/>
            <w:u w:val="single"/>
            <w:vertAlign w:val="baseline"/>
          </w:rPr>
          <w:t>U.S. Airways, 38 F. Supp. 3d at 76.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r>
        <w:rPr>
          <w:rFonts w:ascii="arial" w:eastAsia="arial" w:hAnsi="arial" w:cs="arial"/>
          <w:b w:val="0"/>
          <w:i/>
          <w:strike w:val="0"/>
          <w:noProof w:val="0"/>
          <w:color w:val="000000"/>
          <w:position w:val="0"/>
          <w:sz w:val="20"/>
          <w:u w:val="none"/>
          <w:vertAlign w:val="baseline"/>
        </w:rPr>
        <w:t xml:space="preserve">See </w:t>
      </w:r>
      <w:hyperlink r:id="rId37" w:history="1">
        <w:r>
          <w:rPr>
            <w:rFonts w:ascii="arial" w:eastAsia="arial" w:hAnsi="arial" w:cs="arial"/>
            <w:b w:val="0"/>
            <w:i/>
            <w:strike w:val="0"/>
            <w:noProof w:val="0"/>
            <w:color w:val="0077CC"/>
            <w:position w:val="0"/>
            <w:sz w:val="20"/>
            <w:u w:val="single"/>
            <w:vertAlign w:val="baseline"/>
          </w:rPr>
          <w:t>United States v. Enova Corp., 107 F. Supp. 2d 10, 17 (D.D.C. 2000)</w:t>
        </w:r>
      </w:hyperlink>
      <w:r>
        <w:rPr>
          <w:rFonts w:ascii="arial" w:eastAsia="arial" w:hAnsi="arial" w:cs="arial"/>
          <w:b w:val="0"/>
          <w:i w:val="0"/>
          <w:strike w:val="0"/>
          <w:noProof w:val="0"/>
          <w:color w:val="000000"/>
          <w:position w:val="0"/>
          <w:sz w:val="20"/>
          <w:u w:val="none"/>
          <w:vertAlign w:val="baseline"/>
        </w:rPr>
        <w:t xml:space="preserve"> (noting that the "Tunney Act expressly allows the court to make its public interest determination on the basis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response to comments alone"); </w:t>
      </w:r>
      <w:r>
        <w:rPr>
          <w:rFonts w:ascii="arial" w:eastAsia="arial" w:hAnsi="arial" w:cs="arial"/>
          <w:b w:val="0"/>
          <w:i/>
          <w:strike w:val="0"/>
          <w:noProof w:val="0"/>
          <w:color w:val="000000"/>
          <w:position w:val="0"/>
          <w:sz w:val="20"/>
          <w:u w:val="none"/>
          <w:vertAlign w:val="baseline"/>
        </w:rPr>
        <w:t>United States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Mid-Am. Dairymen, Inc.,</w:t>
      </w:r>
      <w:r>
        <w:rPr>
          <w:rFonts w:ascii="arial" w:eastAsia="arial" w:hAnsi="arial" w:cs="arial"/>
          <w:b w:val="0"/>
          <w:i w:val="0"/>
          <w:strike w:val="0"/>
          <w:noProof w:val="0"/>
          <w:color w:val="000000"/>
          <w:position w:val="0"/>
          <w:sz w:val="20"/>
          <w:u w:val="none"/>
          <w:vertAlign w:val="baseline"/>
        </w:rPr>
        <w:t xml:space="preserve"> No. 73-</w:t>
      </w:r>
      <w:hyperlink r:id="rId38" w:history="1">
        <w:r>
          <w:rPr>
            <w:rFonts w:ascii="arial" w:eastAsia="arial" w:hAnsi="arial" w:cs="arial"/>
            <w:b w:val="0"/>
            <w:i/>
            <w:strike w:val="0"/>
            <w:noProof w:val="0"/>
            <w:color w:val="0077CC"/>
            <w:position w:val="0"/>
            <w:sz w:val="20"/>
            <w:u w:val="single"/>
            <w:vertAlign w:val="baseline"/>
          </w:rPr>
          <w:t>CV-681-W-1, 1977-1 Trade Cas. (CCH) [paragraph] 61,508, at 71,980,</w:t>
        </w:r>
      </w:hyperlink>
      <w:r>
        <w:rPr>
          <w:rFonts w:ascii="arial" w:eastAsia="arial" w:hAnsi="arial" w:cs="arial"/>
          <w:b w:val="0"/>
          <w:i w:val="0"/>
          <w:strike w:val="0"/>
          <w:noProof w:val="0"/>
          <w:color w:val="000000"/>
          <w:position w:val="0"/>
          <w:sz w:val="20"/>
          <w:u w:val="none"/>
          <w:vertAlign w:val="baseline"/>
        </w:rPr>
        <w:t xml:space="preserve"> *22 (W.D. Mo. 1977) ("Absent a showing of corrupt failure of the government to discharge its duty, the Court, in making its public interest finding, should . . . carefully consider the explanations of the government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its responses to comments in order to determine whether those explanations are reasonable under the circumstances."); S. Rep. No. 93-298, at 6 (1973) ("Where the public interest can be meaningfully evaluated simply on the basis of briefs and oral arguments, that is the approach that should be utilized.").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DETERMINATIVE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no determinative materials or documents within the meaning of the APPA that were considered by the United States in formulating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March 16,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Respectfully submitted,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___/s/______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Sarah L. Wagner, Andrew S. Garver, David E. Altschuler, William H. Jones II, Michele B. Cano,</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Division, Transportation, Energy &amp; Agriculture Section, 450 Fifth Street NW., Suite 8000, Washington, DC 20530, Telephone: (202) 305-8915, </w:t>
      </w:r>
      <w:hyperlink r:id="rId39" w:history="1">
        <w:r>
          <w:rPr>
            <w:rFonts w:ascii="arial" w:eastAsia="arial" w:hAnsi="arial" w:cs="arial"/>
            <w:b w:val="0"/>
            <w:i/>
            <w:strike w:val="0"/>
            <w:noProof w:val="0"/>
            <w:color w:val="0077CC"/>
            <w:position w:val="0"/>
            <w:sz w:val="20"/>
            <w:u w:val="single"/>
            <w:vertAlign w:val="baseline"/>
          </w:rPr>
          <w:t>Sarah.Wagner@usdoj.gov</w: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Andrew.Garver@usdoj.gov</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David.Altschuler@usdoj.gov</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Bill.Jones2@usdoj.gov</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Michele.Cano@usdoj.gov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Benjamin Sirota,</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Division, New York Office, 26 Federal Plaza, Room 3630, New York, NY 10278, Telephone: (212) 335-8056, </w:t>
      </w:r>
      <w:hyperlink r:id="rId44" w:history="1">
        <w:r>
          <w:rPr>
            <w:rFonts w:ascii="arial" w:eastAsia="arial" w:hAnsi="arial" w:cs="arial"/>
            <w:b w:val="0"/>
            <w:i/>
            <w:strike w:val="0"/>
            <w:noProof w:val="0"/>
            <w:color w:val="0077CC"/>
            <w:position w:val="0"/>
            <w:sz w:val="20"/>
            <w:u w:val="single"/>
            <w:vertAlign w:val="baseline"/>
          </w:rPr>
          <w:t>Benjamin.Sirota@usdoj.gov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Attorneys for Plaintiff United States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UNITED STATES DISTRICT COURT FOR THE SOUTHERN DISTRICT OF NEW YORK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United States of America, and State of New York, Plaintiffs,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Twin America, LLC, et al.,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Civil Action No. 12-cv-8989 (ALC) (GWG).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ECF Case.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STIPULATION AND ORDER REGARDING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hereby stipulated and agreed by and between the undersigned parties, subject to approval and entry by the Court, that: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used in this Stipulation and Order Regarding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"Coach" means Coach USA, Inc., a Delaware corporation with its principal place of business in Paramus, New Jersey, and International Bus Services, Inc., a New York corporation with its principal place of business in Hoboken, New Jersey, and their successors and assigns, and any subsidiaries, divisions, groups, affiliates, partnerships and joint ventures under its control, and their directors, officers, managers, agents, and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"CitySights" means CitySights LLC and City Sights Twin, LLC, New York limited liability companies with their principal places of business in New York, New York, and their successors and assigns, and any subsidiaries, divisions, groups, affiliates, partnerships and joint ventures under its control, and their directors, officers, managers, agents, and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"CitySights Bus Stop Authorizations" means all of the Manhattan bus stop authorizations granted by the New York City Department of Transportation (NYCDOT) identified in Appendix A to the proposed Final Judgment, which comprises all of the bus stop authorizations granted to and currently held by CitySights to provide hop-on, hop-off bus tours in the Borough of Manhattan, New York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"Twin America" means Twin America, LLC, a Delaware limited liability company with its principal place of business in New York, New York, and its successors and assigns, and any subsidiaries, divisions, groups, affiliates, partnerships and joint ventures under its control, and their directors, officers, managers, agents, and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"Defendants" means Coach USA, Inc., International Bus Services, Inc., CitySights LLC, City Sights Twin, LLC, and Twin America, LLC.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OBJECTIVES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Final Judgment filed in this case is meant to ensure Defendants' prompt divestiture of the CitySights Bus Stop Authorizations by relinquishing them to NYCDOT in order to restore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Plaintiffs allege was </w:t>
      </w:r>
      <w:r>
        <w:rPr>
          <w:rFonts w:ascii="arial" w:eastAsia="arial" w:hAnsi="arial" w:cs="arial"/>
          <w:b/>
          <w:i w:val="0"/>
          <w:strike w:val="0"/>
          <w:noProof w:val="0"/>
          <w:color w:val="000000"/>
          <w:position w:val="0"/>
          <w:sz w:val="20"/>
          <w:u w:val="none"/>
          <w:vertAlign w:val="baseline"/>
        </w:rPr>
        <w:t> [*16433] </w:t>
      </w:r>
      <w:r>
        <w:rPr>
          <w:rFonts w:ascii="arial" w:eastAsia="arial" w:hAnsi="arial" w:cs="arial"/>
          <w:b w:val="0"/>
          <w:i w:val="0"/>
          <w:strike w:val="0"/>
          <w:noProof w:val="0"/>
          <w:color w:val="000000"/>
          <w:position w:val="0"/>
          <w:sz w:val="20"/>
          <w:u w:val="none"/>
          <w:vertAlign w:val="baseline"/>
        </w:rPr>
        <w:t xml:space="preserve"> substantially lessened. If approved by the Court, the proposed Final Judgment would fully resolve the claims alleged in Plaintiffs' Complaint. This Stipulation and Order ensures that, prior to such divestiture, the CitySights Bus Stop Authorizations are maintained until such divestiture has been accomplished.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JURISDICTION AND 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 has jurisdiction over the subject matter of this action and over each of the parties hereto, and venue of this action is proper in the United States District Court for the Southern District of New York.</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COMPLIANCE WITH AND ENTRY OF FINAL JUDGMENT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The parties stipulate that a Final Judgment in the form attached hereto as Exhibit A may be filed with and entered by the Court, upon the motion of any party or upon the Court's own motion, at any time after compliance with the requirements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("APPA"), </w:t>
      </w:r>
      <w:hyperlink r:id="rId8" w:history="1">
        <w:r>
          <w:rPr>
            <w:rFonts w:ascii="arial" w:eastAsia="arial" w:hAnsi="arial" w:cs="arial"/>
            <w:b w:val="0"/>
            <w:i/>
            <w:strike w:val="0"/>
            <w:noProof w:val="0"/>
            <w:color w:val="0077CC"/>
            <w:position w:val="0"/>
            <w:sz w:val="20"/>
            <w:u w:val="single"/>
            <w:vertAlign w:val="baseline"/>
          </w:rPr>
          <w:t>15 U.S.C. 16</w:t>
        </w:r>
      </w:hyperlink>
      <w:r>
        <w:rPr>
          <w:rFonts w:ascii="arial" w:eastAsia="arial" w:hAnsi="arial" w:cs="arial"/>
          <w:b w:val="0"/>
          <w:i w:val="0"/>
          <w:strike w:val="0"/>
          <w:noProof w:val="0"/>
          <w:color w:val="000000"/>
          <w:position w:val="0"/>
          <w:sz w:val="20"/>
          <w:u w:val="none"/>
          <w:vertAlign w:val="baseline"/>
        </w:rPr>
        <w:t>, and without further notice to any party or other proceedings, provided that the Plaintiffs have not withdrawn their consent, which they may do at any time before the entry of the proposed Final Judgment by serving notice thereof on Defendants and by filing that notice with the Court. Defendants agree to arrange, at their expense, publication as quickly as possible of the newspaper notice required by the APPA, which shall be drafted by the United States in its sole discretion. The publication shall be arranged no later than three (3) business days after Defendants' receipt from the United States of the text of the notice and the identity of the newspaper within which the publication shall be made. Defendants shall promptly send to the United States (1) confirmation that publication of the newspaper notice has been arranged, and (2) the certification of the publication prepared by the newspaper within which the notice was published.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Defendants shall abide by and comply with the provisions of the proposed Final Judgment, pending the Judgment's entry by the Court, or until expiration of time for all appeals of any Court ruling declining entry of the proposed Final Judgment, and shall, from the date of the signing of this Stipulation by the parties, comply with all the terms and provisions of the proposed Final Judgment. Plaintiffs shall have the full rights and enforcement powers in the proposed Final Judgment as though the same were in full force and effect as an order of the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This Stipulation shall apply with equal force and effect to any amended proposed Final Judgment agreed upon in writing by the parties and submitted to the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In the event (1) the Plaintiffs have withdrawn their consent, as provided in Section IV(A) above, or (2) the proposed Final Judgment is not entered pursuant to this Stipulation, the time has expired for all appeals of any Court ruling declining entry of the proposed Final Judgment, and the Court has not otherwise ordered continued compliance with the terms and provisions of the proposed Final Judgment, then the parties are released from all further obligations under this Stipulation, and the making of this Stipulation shall be without prejudice to any party in this or any other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Defendants represent that the divestiture and payments ordered in the proposed Final Judgment can and will be made, and that Defendants will later raise no claim of mistake, hardship or difficulty of compliance as grounds for asking the Court to modify any of the provisions contained therein.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MAINTENANCE OF CITYSIGHTS BUS STOP AUTHORIZATIONS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Until the divestiture required by the Final Judgment has been accomplished: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Defendants shall not, except as part of a divestiture approved by the Plaintiffs in accordance with the terms of the proposed Final Judgment, revoke, sell, lease, assign, transfer, pledge or otherwise dispose of any of the CitySights Bus Stop Authorizations.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Defendants shall take no action that would jeopardize, delay, or impede the divestiture of the CitySights Bus Stop Authorizations.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DURATION OF MAINTENANCE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Defendants' obligations under Section V of this Stipulation and Order shall remain in effect until (1) consummation of the divestiture required by the proposed Final Judgment or (2) until further order of the Court or as otherwise provided in Section IV.D hereof. If Plaintiffs voluntarily dismiss the Complaint in this matter, Defendants are released from all further obligations under this Stipulation and Order.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STAY OF LITIGATION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Entry of this Stipulation and Order shall stay all deadlines established by the Amended Pretrial Scheduling Order (Doc. 125).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SO ORDERED this __ day of ____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Andrew L. Carter, Jr.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United States District Judge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Respectfully submitted on ____,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___/s/______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Sarah Wagner,</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Division, Transportation, Energy &amp; Agriculture Section, 450 Fifth Street, NW., Suite 8000, Washington, DC 20530, (202) 305-8915, </w:t>
      </w:r>
      <w:hyperlink r:id="rId39" w:history="1">
        <w:r>
          <w:rPr>
            <w:rFonts w:ascii="arial" w:eastAsia="arial" w:hAnsi="arial" w:cs="arial"/>
            <w:b w:val="0"/>
            <w:i/>
            <w:strike w:val="0"/>
            <w:noProof w:val="0"/>
            <w:color w:val="0077CC"/>
            <w:position w:val="0"/>
            <w:sz w:val="20"/>
            <w:u w:val="single"/>
            <w:vertAlign w:val="baseline"/>
          </w:rPr>
          <w:t>sarah.wagner@usdoj.gov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Attorney for Plaintiff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___/s/______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P. A. Cohen,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Paul Hastings LLP, 875 15th Street, NW, Washington, DC 20005, (202) 551-1880, </w:t>
      </w:r>
      <w:hyperlink r:id="rId45" w:history="1">
        <w:r>
          <w:rPr>
            <w:rFonts w:ascii="arial" w:eastAsia="arial" w:hAnsi="arial" w:cs="arial"/>
            <w:b w:val="0"/>
            <w:i/>
            <w:strike w:val="0"/>
            <w:noProof w:val="0"/>
            <w:color w:val="0077CC"/>
            <w:position w:val="0"/>
            <w:sz w:val="20"/>
            <w:u w:val="single"/>
            <w:vertAlign w:val="baseline"/>
          </w:rPr>
          <w:t>michaelcohen@paulhastings.com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Attorney for Defendants Twin America, LLC, CitySights LLC and City Sights Twin, LLC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___/s/______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J. Stock,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Bureau Chief, </w:t>
      </w:r>
      <w:r>
        <w:rPr>
          <w:rFonts w:ascii="arial" w:eastAsia="arial" w:hAnsi="arial" w:cs="arial"/>
          <w:b/>
          <w:i/>
          <w:strike w:val="0"/>
          <w:noProof w:val="0"/>
          <w:color w:val="000000"/>
          <w:position w:val="0"/>
          <w:sz w:val="20"/>
          <w:u w:val="single"/>
          <w:vertAlign w:val="baseline"/>
        </w:rPr>
        <w:t>Antitrust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Yoon,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Assistant Attorney General, Office of the Attorney General,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Bureau, 120 Broadway, 26th Floor, New York, NY 10271-0332, (212) 416-8262, </w:t>
      </w:r>
      <w:hyperlink r:id="rId46" w:history="1">
        <w:r>
          <w:rPr>
            <w:rFonts w:ascii="arial" w:eastAsia="arial" w:hAnsi="arial" w:cs="arial"/>
            <w:b w:val="0"/>
            <w:i/>
            <w:strike w:val="0"/>
            <w:noProof w:val="0"/>
            <w:color w:val="0077CC"/>
            <w:position w:val="0"/>
            <w:sz w:val="20"/>
            <w:u w:val="single"/>
            <w:vertAlign w:val="baseline"/>
          </w:rPr>
          <w:t>Eric.Stock@ag.ny.gov</w:t>
        </w:r>
      </w:hyperlink>
      <w:r>
        <w:rPr>
          <w:rFonts w:ascii="arial" w:eastAsia="arial" w:hAnsi="arial" w:cs="arial"/>
          <w:b w:val="0"/>
          <w:i/>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James.Yoon@ag.ny.gov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Attorneys for Plaintiff State of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___/s/______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O. Barnett,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Covington &amp; Burling LLP, 850 10th Street, NW, Washington, DC 20001, (202) 662-5407, </w:t>
      </w:r>
      <w:hyperlink r:id="rId48" w:history="1">
        <w:r>
          <w:rPr>
            <w:rFonts w:ascii="arial" w:eastAsia="arial" w:hAnsi="arial" w:cs="arial"/>
            <w:b w:val="0"/>
            <w:i/>
            <w:strike w:val="0"/>
            <w:noProof w:val="0"/>
            <w:color w:val="0077CC"/>
            <w:position w:val="0"/>
            <w:sz w:val="20"/>
            <w:u w:val="single"/>
            <w:vertAlign w:val="baseline"/>
          </w:rPr>
          <w:t>tbarnett@cov.com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Attorney for Defendants Coach USA, Inc. and International Bus Services, Inc.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UNITED STATES DISTRICT COURT FOR THE SOUTHERN DISTRICT OF NEW YORK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United States of America, and State of New York, Plaintiffs,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Twin America, LLC, et al.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Civil Action No. 12-cv-8989 (ALC) (GWG).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ECF Case.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WHEREAS, Plaintiffs United States of America and the State of New York (collectively "Plaintiffs") filed their Complaint on December 11, 2012, Plaintiffs and Defendants Coach USA, Inc., International Bus Services, Inc., CitySights LLC, City Sights Twin, LLC, and Twin America, LLC (collectively "Defendants"), by their respective attorneys, have consented to the entry of this Final Judgment without trial or adjudication of any issue of fact or law, and without this Final Judgment constituting any evidence against or admission by any party regarding any issue of fact or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WHEREAS, Defendants agree to be bound by the provisions of this Final </w:t>
      </w:r>
      <w:r>
        <w:rPr>
          <w:rFonts w:ascii="arial" w:eastAsia="arial" w:hAnsi="arial" w:cs="arial"/>
          <w:b/>
          <w:i w:val="0"/>
          <w:strike w:val="0"/>
          <w:noProof w:val="0"/>
          <w:color w:val="000000"/>
          <w:position w:val="0"/>
          <w:sz w:val="20"/>
          <w:u w:val="none"/>
          <w:vertAlign w:val="baseline"/>
        </w:rPr>
        <w:t> [*16434] </w:t>
      </w:r>
      <w:r>
        <w:rPr>
          <w:rFonts w:ascii="arial" w:eastAsia="arial" w:hAnsi="arial" w:cs="arial"/>
          <w:b w:val="0"/>
          <w:i w:val="0"/>
          <w:strike w:val="0"/>
          <w:noProof w:val="0"/>
          <w:color w:val="000000"/>
          <w:position w:val="0"/>
          <w:sz w:val="20"/>
          <w:u w:val="none"/>
          <w:vertAlign w:val="baseline"/>
        </w:rPr>
        <w:t xml:space="preserve"> Judgment pending its approval by the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WHEREAS, the essence of this Final Judgment is the execution of prompt and certain divestitures by Defendants to restore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Plaintiffs allege was substantially lessened, and the payment of equitable monetary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WHEREAS, Plaintiffs require Defendants to make certain divestitures for the purpose of remedying the loss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alleged in the Complaint, and to pay equitable monetary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WHEREAS, Defendants have represented to Plaintiffs that the divestitures and the other relief required below can and will be made and that Defendants will later raise no claim of hardship or difficulty as grounds for asking the Court to modify any of the provisions contained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THEREFORE, before any trial testimony is taken, without trial or adjudication of any issue of fact or law, and upon consent of the parties, it is ORDERED, ADJUDGED AND DECREED: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Jurisdiction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Court has jurisdiction over the subject matter of and each of the parties to this action. The Complaint states a claim upon which relief may be granted against Defendants under Section 7 of the Clayton Act, as amended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 Section 1 of the Sherman Act (</w:t>
      </w:r>
      <w:r>
        <w:rPr>
          <w:rFonts w:ascii="arial" w:eastAsia="arial" w:hAnsi="arial" w:cs="arial"/>
          <w:b w:val="0"/>
          <w:i/>
          <w:strike w:val="0"/>
          <w:noProof w:val="0"/>
          <w:color w:val="000000"/>
          <w:position w:val="0"/>
          <w:sz w:val="20"/>
          <w:u w:val="none"/>
          <w:vertAlign w:val="baseline"/>
        </w:rPr>
        <w:t>15 U.S.C. 1</w:t>
      </w:r>
      <w:r>
        <w:rPr>
          <w:rFonts w:ascii="arial" w:eastAsia="arial" w:hAnsi="arial" w:cs="arial"/>
          <w:b w:val="0"/>
          <w:i w:val="0"/>
          <w:strike w:val="0"/>
          <w:noProof w:val="0"/>
          <w:color w:val="000000"/>
          <w:position w:val="0"/>
          <w:sz w:val="20"/>
          <w:u w:val="none"/>
          <w:vertAlign w:val="baseline"/>
        </w:rPr>
        <w:t>), Section 340 of the Donnelly Act (N.Y. Gen. Bus. Law § 340), and Section 63(12) of the New York Executive Law (N.Y. Exec. Law § 63(12)).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used in this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"Coach" means Coach USA, Inc., a Delaware corporation with its principal place of business in Paramus, New Jersey, and International Bus Services, Inc., a New York corporation with its principal place of business in Hoboken, New Jersey, and their successors and assigns, and any subsidiaries, divisions, groups, affiliates, partnerships and joint ventures under their control, and their directors, officers, managers, agents, and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"CitySights" means CitySights LLC and City Sights Twin, LLC, New York limited liability companies with their principal places of business in New York, New York, and their successors and assigns, and any subsidiaries, divisions, groups, affiliates, partnerships and joint ventures under their control, and their directors, officers, managers, agents, and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"CitySights Bus Stop Authorizations" means all of the Manhattan bus stop authorizations granted by the New York City Department of Transportation identified in Appendix A, which comprises all of the bus stop authorizations granted to and currently held by CitySights to provide hop-on, hop-off bus tours in the borough of Manhattan, New York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"Twin America" means Twin America, LLC, a Delaware limited liability company with its principal place of business in New York, New York, and its successors and assigns, and any subsidiaries, divisions, groups, affiliates, partnerships and joint ventures under its control, and their directors, officers, managers, agents, and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"Defendants" means Coach USA, Inc., International Bus Services, Inc., CitySights LLC, City Sights Twin, LLC, and Twin America, LLC.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"NYCDOT" means the New York City Department of Transportation.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"Person" means any natural person or legal entity.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Applicability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Judgment applies to Coach, CitySights, and Twin America, as defined above, and all other persons in active concert or participation with any of them who receive actual notice of this Final Judgment by personal service or otherwise.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Disgorgement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Defendants shall pay $ 7.5 million in disgorgement to Plaintiffs for Defendants' alleged violations of Section 7 of the Clayton Act, as amended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 Section 1 of the Sherman Act (</w:t>
      </w:r>
      <w:r>
        <w:rPr>
          <w:rFonts w:ascii="arial" w:eastAsia="arial" w:hAnsi="arial" w:cs="arial"/>
          <w:b w:val="0"/>
          <w:i/>
          <w:strike w:val="0"/>
          <w:noProof w:val="0"/>
          <w:color w:val="000000"/>
          <w:position w:val="0"/>
          <w:sz w:val="20"/>
          <w:u w:val="none"/>
          <w:vertAlign w:val="baseline"/>
        </w:rPr>
        <w:t>15 U.S.C. 1</w:t>
      </w:r>
      <w:r>
        <w:rPr>
          <w:rFonts w:ascii="arial" w:eastAsia="arial" w:hAnsi="arial" w:cs="arial"/>
          <w:b w:val="0"/>
          <w:i w:val="0"/>
          <w:strike w:val="0"/>
          <w:noProof w:val="0"/>
          <w:color w:val="000000"/>
          <w:position w:val="0"/>
          <w:sz w:val="20"/>
          <w:u w:val="none"/>
          <w:vertAlign w:val="baseline"/>
        </w:rPr>
        <w:t>), Section 340 of the Donnelly Act (N.Y. Gen. Bus. Law § 340), and Section 63(12) of the New York Executive Law (N.Y. Exec. Law § 63(12)). The $ 7.5 million disgorgement payment shall be divided equally between the United States and the State of New York.</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Payment of Disgorgement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Defendants' payment of disgorgement shall be made in three (3) installments. Within 30 days of the entry of this Final Judgment, Defendants must pay $ 2.5 million in disgorgement to Plaintiffs, divided equally between the United States and the State of New York. Within nine (9) months after entry of this Final Judgment, Defendants must pay another $ 2.5 million in disgorgement to Plaintiffs, divided equally between the United States and the State of New York. Within 16 months after entry of this Final Judgment, Defendants must pay the remaining $ 2.5 million in disgorgement to Plaintiffs, divided equally between the United States and the State of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The payments to the United States specified in this Final Judgment must be made by wire transfer. Before making any transfer to the United States, a defendant must contact Janie Ingalls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Documents Group at (202) 512-2481 for wire-transfer instructions.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payments to the State of New York specified in this Final Judgment must be made by wire transfer. Before making any transfer to the State of New York, Defendants must contact Dorcey Bennett (</w:t>
      </w:r>
      <w:hyperlink r:id="rId49" w:history="1">
        <w:r>
          <w:rPr>
            <w:rFonts w:ascii="arial" w:eastAsia="arial" w:hAnsi="arial" w:cs="arial"/>
            <w:b w:val="0"/>
            <w:i/>
            <w:strike w:val="0"/>
            <w:noProof w:val="0"/>
            <w:color w:val="0077CC"/>
            <w:position w:val="0"/>
            <w:sz w:val="20"/>
            <w:u w:val="single"/>
            <w:vertAlign w:val="baseline"/>
          </w:rPr>
          <w:t>Dorcey.Bennet@ag.ny.gov</w:t>
        </w:r>
      </w:hyperlink>
      <w:r>
        <w:rPr>
          <w:rFonts w:ascii="arial" w:eastAsia="arial" w:hAnsi="arial" w:cs="arial"/>
          <w:b w:val="0"/>
          <w:i w:val="0"/>
          <w:strike w:val="0"/>
          <w:noProof w:val="0"/>
          <w:color w:val="000000"/>
          <w:position w:val="0"/>
          <w:sz w:val="20"/>
          <w:u w:val="none"/>
          <w:vertAlign w:val="baseline"/>
        </w:rPr>
        <w:t>) of the State of New York's Budget &amp; Fiscal Management Bureau for wire-transfer instructions and cc: to James Yoon (</w:t>
      </w:r>
      <w:hyperlink r:id="rId47" w:history="1">
        <w:r>
          <w:rPr>
            <w:rFonts w:ascii="arial" w:eastAsia="arial" w:hAnsi="arial" w:cs="arial"/>
            <w:b w:val="0"/>
            <w:i/>
            <w:strike w:val="0"/>
            <w:noProof w:val="0"/>
            <w:color w:val="0077CC"/>
            <w:position w:val="0"/>
            <w:sz w:val="20"/>
            <w:u w:val="single"/>
            <w:vertAlign w:val="baseline"/>
          </w:rPr>
          <w:t>James.Yoon@ag.ny.gov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In the event of a default in payment, interest at the rate of 18 percent per annum will accrue thereon from the date of default to the date of payment.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Divestitures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Defendants are ordered and directed, by May 1, 2015, to divest the CitySights Bus Stop Authorizations by relinquishing them to the NYCDOT in a manner consistent with this Final Judgment. The Plaintiffs, in their sole discretion, may agree to one or more extensions of this time period not to exceed 30 calendar days in total, and shall notify the Court in such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Defendants shall not take any action that will jeopardize, delay, or impede in any way the divestiture of the CitySights Bus Stop Authorizations.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Unless the Plaintiffs otherwise consent in writing, the divestiture pursuant to Section VI of this Final Judgment shall include the entire CitySights Bus Stop Authorizations in the borough of Manhattan, New York City. For the avoidance of doubt, nothing in this Final Judgment requires Defendants to divest any bus stop authorizations granted to affiliates of Twin America other than CitySights, including any authorizations for shared use bus stops.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Defendants shall not take any action to impede in any way the reallocation or reassignment of the CitySights Bus Stop Authorizations by NYCDOT to any other person.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Maintenance of CitySights Bus Stop Authorizations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Until the divestiture required by this Final Judgment has been accomplished, Defendants shall take all steps necessary to comply with the Stipulation and </w:t>
      </w:r>
      <w:r>
        <w:rPr>
          <w:rFonts w:ascii="arial" w:eastAsia="arial" w:hAnsi="arial" w:cs="arial"/>
          <w:b/>
          <w:i w:val="0"/>
          <w:strike w:val="0"/>
          <w:noProof w:val="0"/>
          <w:color w:val="000000"/>
          <w:position w:val="0"/>
          <w:sz w:val="20"/>
          <w:u w:val="none"/>
          <w:vertAlign w:val="baseline"/>
        </w:rPr>
        <w:t> [*16435] </w:t>
      </w:r>
      <w:r>
        <w:rPr>
          <w:rFonts w:ascii="arial" w:eastAsia="arial" w:hAnsi="arial" w:cs="arial"/>
          <w:b w:val="0"/>
          <w:i w:val="0"/>
          <w:strike w:val="0"/>
          <w:noProof w:val="0"/>
          <w:color w:val="000000"/>
          <w:position w:val="0"/>
          <w:sz w:val="20"/>
          <w:u w:val="none"/>
          <w:vertAlign w:val="baseline"/>
        </w:rPr>
        <w:t xml:space="preserve"> Order Regarding Proposed Final Judgment entered by this Court. Defendants shall take no action that would jeopardize, delay, or impede the divestiture of the CitySights Bus Stop Authorizations ordered by this Court.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Affidavits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Within seven (7) calendar days of the Court entering the Stipulation and Order Regarding Proposed Final Judgment in this matter, and every thirty (30) calendar days thereafter until the divestiture has been completed under Section VI, Defendants shall deliver to Plaintiffs an affidavit that describes in reasonable detail all actions Defendants have taken to comply with Section VI of this Final Judgment. Defendants shall deliver to Plaintiffs an affidavit describing any changes to the efforts and actions outlined in Defendants' earlier affidavits filed pursuant to this section within fifteen (15) calendar days after the change is implemented.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Defendants shall keep all records of all efforts made to maintain and divest the CitySights Bus Stop Authorizations until one year after such divestiture has been completed.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IX. Compliance Inspection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For the purposes of determining or securing compliance with this Final Judgment, or of any related orders, or of determining whether the Final Judgment should be modified or vacated, and subject to any legally recognized privilege, from time to time Plaintiffs' authorized representatives, upon written request and on reasonable notice to Defendants, shall be permitted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Access during Defendants' office hours to inspect and copy, or at the option of the United States or State of New York, to require Defendants to provide hard copy or electronic copies of, all books, ledgers, accounts, records, data, and documents in the possession, custody, or control of Defendants, relating to any matters contained in this Final Judgment;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interview, either informally or on the record, Defendants' officers, employees, or agents, who may have their individual counsel present, regarding such matters. The interviews shall be subject to the reasonable convenience of the interviewee and without restraint or interference by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Upon the written request of an authorized representative of either Plaintiff, Defendants shall submit written reports or responses to written interrogatories, under oath if requested, relating to any of the matters contained in this Final Judgment as may be requested.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No information or documents obtained by the means provided in this section shall be divulged by the Plaintiffs to any person other than an authorized representative of the executive branch of the United States or the Attorney General's Office of the State of New York, except in the course of legal proceedings to which the United States or the State of New York is a party (including grand jury proceedings), or for the purpose of securing compliance with this Final Judgment, for law enforcement purposes, or as otherwise required by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If at the time information or documents are furnished by Defendants to Plaintiffs, Defendants represent and identify in writing the material in any such information or documents to which a claim of protection may be asserted under Rule 26(c)(1)(G) of the Federal Rules of Civil Procedure, and Defendants mark each pertinent page of such material, "Subject to claim of protection under Rule 26(c)(1)(G) of the Federal Rules of Civil Procedure," then Plaintiffs shall give Defendants ten (10) calendar days notice prior to divulging such material in any legal proceeding (other than a grand jury proceeding).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 Notification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Unless such transaction is otherwise subject to the reporting and waiting period requirements of the Hart-Scott-Rodino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Improvements Act of 1976, as amended, </w:t>
      </w:r>
      <w:hyperlink r:id="rId11" w:history="1">
        <w:r>
          <w:rPr>
            <w:rFonts w:ascii="arial" w:eastAsia="arial" w:hAnsi="arial" w:cs="arial"/>
            <w:b w:val="0"/>
            <w:i/>
            <w:strike w:val="0"/>
            <w:noProof w:val="0"/>
            <w:color w:val="0077CC"/>
            <w:position w:val="0"/>
            <w:sz w:val="20"/>
            <w:u w:val="single"/>
            <w:vertAlign w:val="baseline"/>
          </w:rPr>
          <w:t>15 U.S.C. 18a</w:t>
        </w:r>
      </w:hyperlink>
      <w:r>
        <w:rPr>
          <w:rFonts w:ascii="arial" w:eastAsia="arial" w:hAnsi="arial" w:cs="arial"/>
          <w:b w:val="0"/>
          <w:i w:val="0"/>
          <w:strike w:val="0"/>
          <w:noProof w:val="0"/>
          <w:color w:val="000000"/>
          <w:position w:val="0"/>
          <w:sz w:val="20"/>
          <w:u w:val="none"/>
          <w:vertAlign w:val="baseline"/>
        </w:rPr>
        <w:t xml:space="preserve"> (the "HSR Act"), Defendants, without providing advance notification to the Plaintiffs, shall not directly or indirectly acquire any assets of or any interest, including any financial, security, loan, equity or management interest, in a person providing hop-on, hop-off bus tours in New York City during the term of this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Such notification shall be provided to the Plaintiffs in the same format as, and per the instructions relating to the Notification and Report Form set forth in the Appendix to Part 803 of Title 16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amended, except that the information requested in Items 4 through 8 of the instructions must be provided only about hop-on, hop-off bus tours in New York City. Notification shall be provided at least thirty (30) calendar days prior to acquiring any such interest, and shall include, beyond what may be required by the applicable instructions, the names of the principal representatives of the parties to the agreement who negotiated the agreement, and any management or strategic plans discussing the proposed transaction. If within the 30-day period after notification, representatives of either Plaintiff make a written request for additional information, Defendants shall not consummate the proposed transaction or agreement until thirty (30) calendar days after substantially complying with such request for information. Early termination of the waiting periods in this paragraph may be requested and, where appropriate, granted in the same manner as is applicable under the requirements and provisions of the HSR Act and rules promulgated thereunder. This Section shall be broadly construed and any ambiguity or uncertainty regarding the filing of notice under this Section shall be resolved in favor of filing notice.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XI.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Compliance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Within thirty (30) days after entry of this Final Judgment, Coach and Twin America shall each appoint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Compliance Officer and identify to Plaintiffs his or her name, business address, and telephone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Each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Compliance Officer shall institute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compliance program for the company's officers and directors with responsibility for any operations in the U.S., and any employee with pricing or decision-making responsibility for any aspect of the provision of hop-on, hop-off bus tours in New York City.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compliance program shall provide at least two hours of training annually on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such training to be delivered by an attorney with relevant experience in the field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Each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Compliance Officer shall obtain, within six months after entry of this Final Judgment, and on an annual basis thereafter, on or before each anniversary of the entry of this Final Judgment, from each person subject to Section XI.B of this Final Judgment, and thereafter maintaining, a certification that each such person has received the required two hours of annual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Each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Compliance Officer shall communicate annually to all employees that they may disclose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Compliance Officer, without reprisal, information concerning any potential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Each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Compliance Offer shall provide to Plaintiffs within six months after entry of this Final Judgment, and on an annual basis thereafter, on or before each anniversary of the entry of this Final Judgment, a written statement as to the fact and manner of the Defendant's compliance with Section XI of this Final Judgment. </w:t>
      </w:r>
      <w:r>
        <w:rPr>
          <w:rFonts w:ascii="arial" w:eastAsia="arial" w:hAnsi="arial" w:cs="arial"/>
          <w:b/>
          <w:i w:val="0"/>
          <w:strike w:val="0"/>
          <w:noProof w:val="0"/>
          <w:color w:val="000000"/>
          <w:position w:val="0"/>
          <w:sz w:val="20"/>
          <w:u w:val="none"/>
          <w:vertAlign w:val="baseline"/>
        </w:rPr>
        <w:t> [*16436]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XII. No Reacquisition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 period of five years from the date of entry of this Final Judgment, Defendants may not apply for or obtain any bus stop authorizations for hop-on, hop-off bus tours at the locations of the divested CitySights Bus Stop Authorizations, except that, after May 1, 2016, if the NYCDOT revokes a bus stop authorization currently granted to an affiliate of Twin America other than City Sights, Defendants may apply for or obtain a bus stop authorization at the location of a divested CitySights Bus Stop Authorization that is at or in close proximity to the location of the bus stop authorization NYCDOT has revoked. Nothing in this Final Judgment shall be construed to prohibit Defendants from applying for or obtaining from the NYCDOT bus stop authorizations at locations other than the locations of the CitySights Bus Stop Authorizations, nor to limit the NYCDOT's ability to alter or amend Defendants' bus stop authorizations.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XIII. Retention of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Court retains jurisdiction to enable any party to this Final Judgment to apply to this Court at any time for further orders and directions as may be necessary or appropriate to carry out or construe this Final Judgment, to modify any of its provisions, to enforce compliance, and to punish violations of its provisions.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XIV. Expiration of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Unless this Court grants an extension, this Final Judgment shall expire ten years from the date of its entry, except that Sections XI and XII shall expire five years from the date of this Final Judgment's entry.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XV. Public Interest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Entry of this Final Judgment is in the public interest. The parties have complied with the requirements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w:t>
      </w:r>
      <w:hyperlink r:id="rId8" w:history="1">
        <w:r>
          <w:rPr>
            <w:rFonts w:ascii="arial" w:eastAsia="arial" w:hAnsi="arial" w:cs="arial"/>
            <w:b w:val="0"/>
            <w:i/>
            <w:strike w:val="0"/>
            <w:noProof w:val="0"/>
            <w:color w:val="0077CC"/>
            <w:position w:val="0"/>
            <w:sz w:val="20"/>
            <w:u w:val="single"/>
            <w:vertAlign w:val="baseline"/>
          </w:rPr>
          <w:t>15 U.S.C. 16</w:t>
        </w:r>
      </w:hyperlink>
      <w:r>
        <w:rPr>
          <w:rFonts w:ascii="arial" w:eastAsia="arial" w:hAnsi="arial" w:cs="arial"/>
          <w:b w:val="0"/>
          <w:i w:val="0"/>
          <w:strike w:val="0"/>
          <w:noProof w:val="0"/>
          <w:color w:val="000000"/>
          <w:position w:val="0"/>
          <w:sz w:val="20"/>
          <w:u w:val="none"/>
          <w:vertAlign w:val="baseline"/>
        </w:rPr>
        <w:t xml:space="preserve">, including making copies available to the public of this Final Judgment,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any comments thereon and the United States' responses to comments. Based upon the record before the Court, which includes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any comments and response to comments filed with the Court, entry of this Final Judgment is in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Andrew L. Carter, Jr.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United States District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2015-07055 Filed 3-26-15;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16427</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usdoj.gov/atr" TargetMode="External" /><Relationship Id="rId11" Type="http://schemas.openxmlformats.org/officeDocument/2006/relationships/hyperlink" Target="https://advance.lexis.com/api/document?collection=statutes-legislation&amp;id=urn:contentItem:4YF7-GNJ1-NRF4-451X-00000-00&amp;context=" TargetMode="External" /><Relationship Id="rId12" Type="http://schemas.openxmlformats.org/officeDocument/2006/relationships/hyperlink" Target="https://advance.lexis.com/api/document?collection=statutes-legislation&amp;id=urn:contentItem:4YF7-GPT1-NRF4-41PJ-00000-00&amp;context=" TargetMode="External" /><Relationship Id="rId13" Type="http://schemas.openxmlformats.org/officeDocument/2006/relationships/hyperlink" Target="https://advance.lexis.com/api/document?collection=cases&amp;id=urn:contentItem:5BJB-8HP1-F04K-J1PJ-00000-00&amp;context=" TargetMode="External" /><Relationship Id="rId14" Type="http://schemas.openxmlformats.org/officeDocument/2006/relationships/hyperlink" Target="https://advance.lexis.com/api/document?collection=cases&amp;id=urn:contentItem:4JPC-0640-0038-X3J1-00000-00&amp;context=" TargetMode="External" /><Relationship Id="rId15" Type="http://schemas.openxmlformats.org/officeDocument/2006/relationships/hyperlink" Target="https://advance.lexis.com/api/document?collection=cases&amp;id=urn:contentItem:830F-H7R1-652R-01J5-00000-00&amp;context=" TargetMode="External" /><Relationship Id="rId16" Type="http://schemas.openxmlformats.org/officeDocument/2006/relationships/hyperlink" Target="https://advance.lexis.com/api/document?collection=cases&amp;id=urn:contentItem:3S4X-JX20-003B-S2B6-00000-00&amp;context=" TargetMode="External" /><Relationship Id="rId17" Type="http://schemas.openxmlformats.org/officeDocument/2006/relationships/hyperlink" Target="https://advance.lexis.com/api/document?collection=cases&amp;id=urn:contentItem:3S4X-HVB0-003B-S1HK-00000-00&amp;context=" TargetMode="External" /><Relationship Id="rId18" Type="http://schemas.openxmlformats.org/officeDocument/2006/relationships/hyperlink" Target="https://advance.lexis.com/api/document?collection=cases&amp;id=urn:contentItem:3S4W-YRM0-0039-M2WR-00000-00&amp;context=" TargetMode="External" /><Relationship Id="rId19" Type="http://schemas.openxmlformats.org/officeDocument/2006/relationships/hyperlink" Target="https://advance.lexis.com/api/document?collection=cases&amp;id=urn:contentItem:524W-GHY1-652J-D25B-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KX1-NRF4-44J4-00000-00&amp;context=" TargetMode="External" /><Relationship Id="rId21" Type="http://schemas.openxmlformats.org/officeDocument/2006/relationships/hyperlink" Target="https://advance.lexis.com/api/document?collection=statutes-legislation&amp;id=urn:contentItem:4YF7-GTM1-NRF4-43SP-00000-00&amp;context=" TargetMode="External" /><Relationship Id="rId22" Type="http://schemas.openxmlformats.org/officeDocument/2006/relationships/hyperlink" Target="https://advance.lexis.com/api/document?collection=cases&amp;id=urn:contentItem:5BJS-9PG1-F04J-71NF-00000-00&amp;context=" TargetMode="External" /><Relationship Id="rId23" Type="http://schemas.openxmlformats.org/officeDocument/2006/relationships/hyperlink" Target="https://advance.lexis.com/api/document?collection=cases&amp;id=urn:contentItem:5283-C5V1-JCNB-8006-00000-00&amp;context=" TargetMode="External" /><Relationship Id="rId24" Type="http://schemas.openxmlformats.org/officeDocument/2006/relationships/hyperlink" Target="https://advance.lexis.com/api/document?collection=statutes-legislation&amp;id=urn:contentItem:4YF7-GTP1-NRF4-44B7-00000-00&amp;context=" TargetMode="External" /><Relationship Id="rId25" Type="http://schemas.openxmlformats.org/officeDocument/2006/relationships/hyperlink" Target="https://advance.lexis.com/api/document?collection=cases&amp;id=urn:contentItem:3VFG-P790-0038-X4VH-00000-00&amp;context=" TargetMode="External" /><Relationship Id="rId26" Type="http://schemas.openxmlformats.org/officeDocument/2006/relationships/hyperlink" Target="https://advance.lexis.com/api/document?collection=cases&amp;id=urn:contentItem:4NCK-65B0-TVT3-D3DR-00000-00&amp;context=" TargetMode="External" /><Relationship Id="rId27" Type="http://schemas.openxmlformats.org/officeDocument/2006/relationships/hyperlink" Target="https://advance.lexis.com/api/document?collection=cases&amp;id=urn:contentItem:3RTP-83N0-001T-D0C7-00000-00&amp;context=" TargetMode="External" /><Relationship Id="rId28" Type="http://schemas.openxmlformats.org/officeDocument/2006/relationships/hyperlink" Target="https://advance.lexis.com/api/document?collection=cases&amp;id=urn:contentItem:3S4N-C0P0-00B1-F1BW-00000-00&amp;context=" TargetMode="External" /><Relationship Id="rId29" Type="http://schemas.openxmlformats.org/officeDocument/2006/relationships/hyperlink" Target="https://advance.lexis.com/api/document?collection=cases&amp;id=urn:contentItem:3TB9-7TJ0-0038-X512-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cases&amp;id=urn:contentItem:4V2H-CKJ0-TX4N-G0JT-00000-00&amp;context=" TargetMode="External" /><Relationship Id="rId31" Type="http://schemas.openxmlformats.org/officeDocument/2006/relationships/hyperlink" Target="https://advance.lexis.com/api/document?collection=cases&amp;id=urn:contentItem:56HF-7M51-F04F-00W0-00000-00&amp;context=" TargetMode="External" /><Relationship Id="rId32" Type="http://schemas.openxmlformats.org/officeDocument/2006/relationships/hyperlink" Target="https://advance.lexis.com/api/document?collection=cases&amp;id=urn:contentItem:3S4X-16H0-0039-W1PJ-00000-00&amp;context=" TargetMode="External" /><Relationship Id="rId33" Type="http://schemas.openxmlformats.org/officeDocument/2006/relationships/hyperlink" Target="https://advance.lexis.com/api/document?collection=cases&amp;id=urn:contentItem:494T-VD60-0038-Y0P1-00000-00&amp;context=" TargetMode="External" /><Relationship Id="rId34" Type="http://schemas.openxmlformats.org/officeDocument/2006/relationships/hyperlink" Target="https://advance.lexis.com/api/document?collection=cases&amp;id=urn:contentItem:3S4V-KH30-0054-6289-00000-00&amp;context=" TargetMode="External" /><Relationship Id="rId35" Type="http://schemas.openxmlformats.org/officeDocument/2006/relationships/hyperlink" Target="https://advance.lexis.com/api/document?collection=cases&amp;id=urn:contentItem:3S4X-53H0-003B-S0M5-00000-00&amp;context=" TargetMode="External" /><Relationship Id="rId36" Type="http://schemas.openxmlformats.org/officeDocument/2006/relationships/hyperlink" Target="https://advance.lexis.com/api/document?collection=cases&amp;id=urn:contentItem:5C2F-7GX1-F04C-Y0FY-00000-00&amp;context=" TargetMode="External" /><Relationship Id="rId37" Type="http://schemas.openxmlformats.org/officeDocument/2006/relationships/hyperlink" Target="https://advance.lexis.com/api/document?collection=cases&amp;id=urn:contentItem:40T2-X8J0-0038-Y2SJ-00000-00&amp;context=" TargetMode="External" /><Relationship Id="rId38" Type="http://schemas.openxmlformats.org/officeDocument/2006/relationships/hyperlink" Target="https://advance.lexis.com/api/document?collection=cases&amp;id=urn:contentItem:3S4N-V3J0-0054-72HT-00000-00&amp;context=" TargetMode="External" /><Relationship Id="rId39" Type="http://schemas.openxmlformats.org/officeDocument/2006/relationships/hyperlink" Target="mailto:Sarah.Wagner@usdoj.gov" TargetMode="External" /><Relationship Id="rId4" Type="http://schemas.openxmlformats.org/officeDocument/2006/relationships/header" Target="header1.xml" /><Relationship Id="rId40" Type="http://schemas.openxmlformats.org/officeDocument/2006/relationships/hyperlink" Target="mailto:Andrew.Garver@usdoj.gov" TargetMode="External" /><Relationship Id="rId41" Type="http://schemas.openxmlformats.org/officeDocument/2006/relationships/hyperlink" Target="mailto:David.Altschuler@usdoj.gov" TargetMode="External" /><Relationship Id="rId42" Type="http://schemas.openxmlformats.org/officeDocument/2006/relationships/hyperlink" Target="mailto:Bill.Jones2@usdoj.gov" TargetMode="External" /><Relationship Id="rId43" Type="http://schemas.openxmlformats.org/officeDocument/2006/relationships/hyperlink" Target="mailto:Michele.Cano@usdoj.gov" TargetMode="External" /><Relationship Id="rId44" Type="http://schemas.openxmlformats.org/officeDocument/2006/relationships/hyperlink" Target="mailto:Benjamin.Sirota@usdoj.gov" TargetMode="External" /><Relationship Id="rId45" Type="http://schemas.openxmlformats.org/officeDocument/2006/relationships/hyperlink" Target="mailto:michaelcohen@paulhastings.com" TargetMode="External" /><Relationship Id="rId46" Type="http://schemas.openxmlformats.org/officeDocument/2006/relationships/hyperlink" Target="mailto:Eric.Stock@ag.ny.gov" TargetMode="External" /><Relationship Id="rId47" Type="http://schemas.openxmlformats.org/officeDocument/2006/relationships/hyperlink" Target="mailto:James.Yoon@ag.ny.gov" TargetMode="External" /><Relationship Id="rId48" Type="http://schemas.openxmlformats.org/officeDocument/2006/relationships/hyperlink" Target="mailto:tbarnett@cov.com" TargetMode="External" /><Relationship Id="rId49" Type="http://schemas.openxmlformats.org/officeDocument/2006/relationships/hyperlink" Target="mailto:Dorcey.Bennet@ag.ny.gov" TargetMode="External" /><Relationship Id="rId5" Type="http://schemas.openxmlformats.org/officeDocument/2006/relationships/footer" Target="footer1.xml" /><Relationship Id="rId50" Type="http://schemas.openxmlformats.org/officeDocument/2006/relationships/styles" Target="styles.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FM1-TX70-006W-82S2-00000-00&amp;context=" TargetMode="External" /><Relationship Id="rId8" Type="http://schemas.openxmlformats.org/officeDocument/2006/relationships/hyperlink" Target="https://advance.lexis.com/api/document?collection=statutes-legislation&amp;id=urn:contentItem:4YF7-GR31-NRF4-44X5-00000-00&amp;context=" TargetMode="External" /><Relationship Id="rId9" Type="http://schemas.openxmlformats.org/officeDocument/2006/relationships/hyperlink" Target="https://advance.lexis.com/api/document?collection=statutes-legislation&amp;id=urn:contentItem:4YF7-GNT1-NRF4-426N-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38736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71337405</vt:lpwstr>
  </property>
  <property fmtid="{D5CDD505-2E9C-101B-9397-08002B2CF9AE}" pid="3" name="LADocCount">
    <vt:lpwstr>1</vt:lpwstr>
  </property>
  <property fmtid="{D5CDD505-2E9C-101B-9397-08002B2CF9AE}" pid="4" name="UserPermID">
    <vt:lpwstr>urn:user:PA185916758</vt:lpwstr>
  </property>
</Properties>
</file>