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16648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060, Monday, March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16648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Investing in Innovation Fund--Development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in Innovation Fund--Development grants 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84.411P (Development grants Pre-Application) and 84.411C (Development grants Full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order to receive an Investing in Innovation Fund (i3) Development grant, an entity must submit a pre-application. The pre-application is intended to reduce the burden of submitting a full application for an i3 Development grant. Pre-applications will be reviewed and scored by peer reviewers using the selection criteria designated in this notice. Entities that submit a highly rated pre-application will be invited to submit a full application for a Development grant; however, any entity that successfully submits a pre-application may choose to submit a full application.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either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Associate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2015-07213 Filed 3-27-15;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Pre-Applications Available:</w:t>
      </w:r>
      <w:r>
        <w:rPr>
          <w:rFonts w:ascii="arial" w:eastAsia="arial" w:hAnsi="arial" w:cs="arial"/>
          <w:b w:val="0"/>
          <w:i w:val="0"/>
          <w:strike w:val="0"/>
          <w:noProof w:val="0"/>
          <w:color w:val="000000"/>
          <w:position w:val="0"/>
          <w:sz w:val="20"/>
          <w:u w:val="none"/>
          <w:vertAlign w:val="baseline"/>
        </w:rPr>
        <w:t xml:space="preserve"> April 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Submit Pre-Application:</w:t>
      </w:r>
      <w:r>
        <w:rPr>
          <w:rFonts w:ascii="arial" w:eastAsia="arial" w:hAnsi="arial" w:cs="arial"/>
          <w:b w:val="0"/>
          <w:i w:val="0"/>
          <w:strike w:val="0"/>
          <w:noProof w:val="0"/>
          <w:color w:val="000000"/>
          <w:position w:val="0"/>
          <w:sz w:val="20"/>
          <w:u w:val="none"/>
          <w:vertAlign w:val="baseline"/>
        </w:rPr>
        <w:t xml:space="preserve"> April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Pre-applications:</w:t>
      </w:r>
      <w:r>
        <w:rPr>
          <w:rFonts w:ascii="arial" w:eastAsia="arial" w:hAnsi="arial" w:cs="arial"/>
          <w:b w:val="0"/>
          <w:i w:val="0"/>
          <w:strike w:val="0"/>
          <w:noProof w:val="0"/>
          <w:color w:val="000000"/>
          <w:position w:val="0"/>
          <w:sz w:val="20"/>
          <w:u w:val="none"/>
          <w:vertAlign w:val="baseline"/>
        </w:rPr>
        <w:t xml:space="preserve"> April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Full Applications Available:</w:t>
      </w:r>
      <w:r>
        <w:rPr>
          <w:rFonts w:ascii="arial" w:eastAsia="arial" w:hAnsi="arial" w:cs="arial"/>
          <w:b w:val="0"/>
          <w:i w:val="0"/>
          <w:strike w:val="0"/>
          <w:noProof w:val="0"/>
          <w:color w:val="000000"/>
          <w:position w:val="0"/>
          <w:sz w:val="20"/>
          <w:u w:val="none"/>
          <w:vertAlign w:val="baseline"/>
        </w:rPr>
        <w:t xml:space="preserve"> If you are invited to submit a full application for a Development grant, we will transmit the full application package and instructions using the contact information you provide to us in your pre-application. Other pre-applicants who choose to submit a full application may access these items on the i3 Web site at </w:t>
      </w:r>
      <w:r>
        <w:rPr>
          <w:rFonts w:ascii="arial" w:eastAsia="arial" w:hAnsi="arial" w:cs="arial"/>
          <w:b w:val="0"/>
          <w:i/>
          <w:strike w:val="0"/>
          <w:noProof w:val="0"/>
          <w:color w:val="000000"/>
          <w:position w:val="0"/>
          <w:sz w:val="20"/>
          <w:u w:val="none"/>
          <w:vertAlign w:val="baseline"/>
        </w:rPr>
        <w:t>www2.ed.gov/programs/innovation/index.html.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Full Applications:</w:t>
      </w:r>
      <w:r>
        <w:rPr>
          <w:rFonts w:ascii="arial" w:eastAsia="arial" w:hAnsi="arial" w:cs="arial"/>
          <w:b w:val="0"/>
          <w:i w:val="0"/>
          <w:strike w:val="0"/>
          <w:noProof w:val="0"/>
          <w:color w:val="000000"/>
          <w:position w:val="0"/>
          <w:sz w:val="20"/>
          <w:u w:val="none"/>
          <w:vertAlign w:val="baseline"/>
        </w:rPr>
        <w:t xml:space="preserve"> Entities that submit a highly rated pre-application, as scored by peer reviewers and as identified by the Department, will be invited to submit a full application for a Development grant. Other pre-applicants may choose to submit a full application. The Department will announce on its Web site the deadline date for transmission of full applications and will also communicate this deadline to applicants in the full application package and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60 calendar days after the deadline date for transmittal of full applications. </w:t>
      </w:r>
      <w:r>
        <w:rPr>
          <w:rFonts w:ascii="arial" w:eastAsia="arial" w:hAnsi="arial" w:cs="arial"/>
          <w:b/>
          <w:i w:val="0"/>
          <w:strike w:val="0"/>
          <w:noProof w:val="0"/>
          <w:color w:val="000000"/>
          <w:position w:val="0"/>
          <w:sz w:val="20"/>
          <w:u w:val="none"/>
          <w:vertAlign w:val="baseline"/>
        </w:rPr>
        <w:t> [*16649]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Investing in Innovation Fund (i3), established under section 14007 of the American Recovery and Reinvestment Act of 2009 (ARRA), provides funding to support (1) local educational agencies (LEAs), and (2) nonprofit organizations in partnership with (a) one or more LEAs or (b) a consortium of schools. The i3 program is designed to generate and validate solutions to persistent educational challenges and to support the expansion of effective solutions to serve substantially larger numbers of students. The central design element of the i3 program is its multi-tier structure that links the amount of funding that an applicant may receive to the quality of the evidence supporting the efficacy of the proposed project. Applicants proposing practices supported by limited evidence can receive relatively small grants that support the development and initial evaluation of promising practices and help to identify new solutions to pressing challenges; applicants proposing practices supported by evidence from rigorous evaluations, such as large randomized controlled trials, can receive sizable grants to support expansion across the country. This structure provides incentives for applicants to build evidence of effectiveness of their proposed projects and to address the barriers to serving more students across schools, districts, and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importantly, all i3 projects are required to generate additional evidence of effectiveness. All i3 grantees must use part of their budgets to conduct independent evaluations (as defined in this notice) of their projects. This ensures that projects funded under the i3 program contribute significantly to improving the information available to practitioners and policymakers about which practices work, for which types of students, and in what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awards three types of grants under this program: "Development" grants, "Validation" grants, and "Scale-Up" grants. These grants differ in terms of the level of prior evidence of effectiveness required for consideration of funding, the level of scale the funded project should reach, and, consequently, the amount of funding available to support the project. Development grants provide funding to support the development or testing of practices that are supported by evidence of promise (as defined in this notice) or a strong theory (as defined in this notice) and whose efficacy should be systematically studied. Development grants will support new or substantially more effective practices for addressing widely shared challenges. Development projects are novel and significant nationally, not projects that simply implement existing practices in additional locations or support needs that are primarily local in nature. All Development grantees must evaluate the effectiveness of the project at the level of scale proposed in the application. This notice invites applications for Development grants only. The Department anticipates publishing notices inviting applications for the other types of i3 grants (Validation and Scale-Up grants) in the spring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remind LEAs of the continuing applicability of the provisions of the Individuals with Disabilities Education Act (IDEA) for students who may be served under i3 grants. Any grants in which LEAs participate must be consistent with the rights, protections, and processes established under IDEA for students who are receiving special education and related services or are in the process of being evaluated to determine their eligibility for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later in this notice, in connection with making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awards, an applicant is required, as a condition of receiving assistance under this program, to make civil rights assurances, including an assurance that its program or activity will comply with Section 504 of the Rehabilitation Act of 1973, as amended and the Department's section 504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prohibit discrimination on the basis of disability. Regardless of whether a student with disabilities is specifically targeted as a "high-need student" (as defined in this notice) in a particular grant application, recipients are required to comply with all legal nondiscrimination requirements, including, but not limited to the obligation to ensure that students with disabilities are not denied access to the benefits of the recipient's program because of their disability. The Department also enforces Title II of the Americans with Disabilities Act (ADA), as well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of the ADA, which prohibit discrimination on the basis of disability by public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Title VI and Title IX of the Civil Rights Act of 1964 prohibit discrimination on the basis of race, color, and national origin, and sex, respectively. On December 2, 2011, the Departments of Education and Justice jointly issued guidance that explains how educational institutions can promote student diversity or avoid racial isolation within the framework of Title VI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consideration of the racial demographics of neighborhoods when drawing assignment zones for schools or through targeted recruiting efforts). The "Guidance on the Voluntary Use of Race to Achieve Diversity and Avoid Racial Isolation in Elementary and Secondary Schools" is available on the Department's Web site at </w:t>
      </w:r>
      <w:hyperlink r:id="rId10" w:history="1">
        <w:r>
          <w:rPr>
            <w:rFonts w:ascii="arial" w:eastAsia="arial" w:hAnsi="arial" w:cs="arial"/>
            <w:b w:val="0"/>
            <w:i/>
            <w:strike w:val="0"/>
            <w:noProof w:val="0"/>
            <w:color w:val="0077CC"/>
            <w:position w:val="0"/>
            <w:sz w:val="20"/>
            <w:u w:val="single"/>
            <w:vertAlign w:val="baseline"/>
          </w:rPr>
          <w:t>www.ed.gov/ocr/docs/guidance-ese-201111.pdf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Through its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i3 program strives to improve the academic achievement of high-need students by accelerating the identification of promising solutions to pressing challenges in kindergarten through grade 12 (K-12) education, supporting the evaluation of the efficacy of such solutions, and developing new approaches to scaling effective practices to serve more students. The i3 program aims to build a portfolio of solutions and corresponding evidence regarding different approaches to addressing critical challenges in education. When selecting the priorities for a given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considers several factors, including the Department's policy priorities, the need for new solutions in a particular priority area, the extent of the existing evidence in the field supporting effective practices in a particular priority area, whether other available funding exists for a particular priority area, and the results and lessons learned from funded projects from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We note that in previous i3 Development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Department has included explicit priority areas for supporting students with disabilities and English learners. Most of the projects in i3's current portfolio are supporting these students in some way. Our approach for the FY 2015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further described below, is to focus on projects that are designed to test new or otherwise promising approaches that may impact a broad spectrum of students, including students with disabilities and English learners. Although the FY 2015 i3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include specific priorities for supporting English learners or students with disabilities, we require applicants to serve high-need student populations, and we encourage them to consider ways in which their proposed projects could serve students with disabilities or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include five absolute priorities in the FY 2015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include absolute priorities that are intended to represent persistent challenges in education, new areas of policy focus in which research is scarce, and areas we would like to strengthen </w:t>
      </w:r>
      <w:r>
        <w:rPr>
          <w:rFonts w:ascii="arial" w:eastAsia="arial" w:hAnsi="arial" w:cs="arial"/>
          <w:b/>
          <w:i w:val="0"/>
          <w:strike w:val="0"/>
          <w:noProof w:val="0"/>
          <w:color w:val="000000"/>
          <w:position w:val="0"/>
          <w:sz w:val="20"/>
          <w:u w:val="none"/>
          <w:vertAlign w:val="baseline"/>
        </w:rPr>
        <w:t> [*16650] </w:t>
      </w:r>
      <w:r>
        <w:rPr>
          <w:rFonts w:ascii="arial" w:eastAsia="arial" w:hAnsi="arial" w:cs="arial"/>
          <w:b w:val="0"/>
          <w:i w:val="0"/>
          <w:strike w:val="0"/>
          <w:noProof w:val="0"/>
          <w:color w:val="000000"/>
          <w:position w:val="0"/>
          <w:sz w:val="20"/>
          <w:u w:val="none"/>
          <w:vertAlign w:val="baseline"/>
        </w:rPr>
        <w:t xml:space="preserve"> the current portfolio of i3 grantee projects. Applicants applying under the Serving Rural Communities priority (Absolute Priority 5) must also address one of the other four absolute priorities established for the FY 2015 i3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below, while serving students enrolled in rural LEAs (as defined in this notice). We also include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novice i3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include an absolute priority that asks applicants to increase the number and percentage of highly effective principals. School leaders play an essential role in shaping school cultures, aligning parents and educators around shared goals, and, ultimately, influencing student achievement. Yet preparation programs and support for school leaders are often lacking. Preparation programs, for example, sometimes lack rigorous screening and selection entry requirements, offer courses that are not aligned with standards of practice, and provide insufficient clinical experiences for candidates. Furthermore, current principals indicate that they are not reliably provided the necessary support and development opportunities that enable them to shape a strong professional community and collective responsibility for student learning. We encourage applicants addressing this priority to consider strategies that improve hiring, support, and retention efforts for principals with the ultimate outcome of improving outcomes for high-need students (as defined in this notice). We think these areas are important to explore further, as the research base on effective practices for training, supporting, and retaining strong leaders is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include an absolute priority on improving science, technology, engineering, and mathematics (STEM) education. Research shows that ensuring that all students can access and excel in STEM fields is essential to our Nation's economy and future prosperity. n1 Careers in STEM fields are growing, as are the skills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succeed in these specialized jobs. n2 In addition, STEM literacy is beneficial even for those who are not directly involved in STEM professions. For this priority, we seek projects that reach students beyond the boundaries of the traditional school day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during out-of-school time or extended-day programs) and provide meaningful, real-world STEM learning experiences that will inspire students' interest in STEM and give them the tools they need to meet the demands of dynamic labor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Langdon, D.; McKittrick, G.; Beede, D.; Khan, B.; and Doms, M., Office of the Chief Economist, U.S. Department of Commerce. STEM: Good Jobs Now and for the Future (July 2011).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http://www.esa.doc.gov/sites/default/files/stemfinalyjuly14_1.pdf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Chairman's Staff of the Joint Economic Committee. Calculations using data from the Bureau of Labor Statistics. Employment Projections: 2010-20. Table 1.7 Occupational Employment and Job Openings Data, Projected 2010-20, and Worker Characteristics, 2010. February 2012.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http://bls.gov/emp/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the purposes of this calculation, STEM occupations are defined as in the U.S. Department of Commerce's Economics and Statistics Administration report, STEM: Good Jobs Now and for the Future. ESA Issue Brief #03-11. July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include an absolute priority that supports the use of technology in the classroom to support student learning and inform teacher professional development. In this priority, we seek projects that use technological tools that enable the development, visualization, and rapid analysis of data to inform instructional practices and improve learning outcomes. Incorporating real-time data into instructional practice provides students with the individualized support they need to be successful and can also be leveraged to provide educators with targeted support that helps them meet students' needs. We seek projects that will examine the effectiveness of various approaches to providing student and teacher support and build the research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include an absolute priority on influencing the development of non-cognitive factors. Non-cognitive factors may encompass many skills and behaviors, including but not limited to academic behaviors, academic mindset, perseverance,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social and emotional skills, and approaches toward learning strategies. A promising body of research suggests that non-cognitive factors play an important role in students' academic, career, and life outcomes. n3 Notably, some initial interventions focused on enhancing these skills and behaviors are seemingly scalable and lower-cost as compared to more conventional education interventions--and have a disproportionately positive impact on students most in need. n4 As interest in this area grows, we think it is important to identify solutions and build evidence to determine effective ways to help students develop such skills and behaviors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interventions that directly target students, support changes in educators' instructional practices, or redesign learning environments), as well as how to measure such skills and behaviors in valid and reliable ways, and to demonstrate how improvement in such skills and behaviors affects overall student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University of Chicago Consortium of Chicago School Research (June 2012). Teaching Adolescents to Become Learners: The Role of Noncognitive Factors in Shaping School Performance.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https://ccsr.uchicago.edu/sites/default/files/publications/Noncognitive%20Report.pdf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Walton, GM; Cohen, GL. (2011) </w:t>
      </w:r>
      <w:r>
        <w:rPr>
          <w:rFonts w:ascii="arial" w:eastAsia="arial" w:hAnsi="arial" w:cs="arial"/>
          <w:b w:val="0"/>
          <w:i/>
          <w:strike w:val="0"/>
          <w:noProof w:val="0"/>
          <w:color w:val="000000"/>
          <w:position w:val="0"/>
          <w:sz w:val="20"/>
          <w:u w:val="none"/>
          <w:vertAlign w:val="baseline"/>
        </w:rPr>
        <w:t>A Brief Social-Belonging Intervention Improves Academic and Health Outcomes of Minority Students.</w:t>
      </w:r>
      <w:r>
        <w:rPr>
          <w:rFonts w:ascii="arial" w:eastAsia="arial" w:hAnsi="arial" w:cs="arial"/>
          <w:b w:val="0"/>
          <w:i w:val="0"/>
          <w:strike w:val="0"/>
          <w:noProof w:val="0"/>
          <w:color w:val="000000"/>
          <w:position w:val="0"/>
          <w:sz w:val="20"/>
          <w:u w:val="none"/>
          <w:vertAlign w:val="baseline"/>
        </w:rPr>
        <w:t xml:space="preserve"> Science, 331 (6023): 1447-1451. and Cohen, G.L., Garcia, J., Purdie-Vaugns, V., Apfel, N., &amp; Brzustoski, P. (2009). </w:t>
      </w:r>
      <w:r>
        <w:rPr>
          <w:rFonts w:ascii="arial" w:eastAsia="arial" w:hAnsi="arial" w:cs="arial"/>
          <w:b w:val="0"/>
          <w:i/>
          <w:strike w:val="0"/>
          <w:noProof w:val="0"/>
          <w:color w:val="000000"/>
          <w:position w:val="0"/>
          <w:sz w:val="20"/>
          <w:u w:val="none"/>
          <w:vertAlign w:val="baseline"/>
        </w:rPr>
        <w:t>Recursive processes in self-affirmation: Intervening to close the minority achievement gap.</w:t>
      </w:r>
      <w:r>
        <w:rPr>
          <w:rFonts w:ascii="arial" w:eastAsia="arial" w:hAnsi="arial" w:cs="arial"/>
          <w:b w:val="0"/>
          <w:i w:val="0"/>
          <w:strike w:val="0"/>
          <w:noProof w:val="0"/>
          <w:color w:val="000000"/>
          <w:position w:val="0"/>
          <w:sz w:val="20"/>
          <w:u w:val="none"/>
          <w:vertAlign w:val="baseline"/>
        </w:rPr>
        <w:t xml:space="preserve"> Science, 324, 400-403.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we include an absolute priority that focuses on serving rural communities. Students living in rural communities face unique challenges. Applicants applying under this priority must also address one of the other four absolute priorities established for the FY 2015 i3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described above, while serving students enrolled in rural LEAs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order to expand the reach of the i3 program and encourage entities that have not previously received an i3 grant to apply, the Department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novice i3 applicants. A novice i3 applicant is an applicant that has never received a grant under the i3 program. An applicant must identify whether it is a novice applicant when completing the applicant information sheet. Instructions on how to complete the applicant information sheet are included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applications must address one of the first four absolute priorities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propose projects designed to implement practices that serve students who are in grades K-12 at some point during the funding period. If an applicant chooses to also address the absolute priority regarding students in rural LEAs, that applicant must also address one of the other four absolute priorities established for the FY 2015 i3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above, while serving students enrolled in rural LEAs (as defined in this notice). Applicants must be able to demonstrate that the proposed process, product, strategy, or practice included in their applications is supported by either evidence of promise (as defined in this notice) or a strong theory (as defined in this notice). Applicants should carefully review all of the requirements in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of this notice for instructions on how to demonstrate the proposed project is supported by evidence of promise (as defined in this notice) or a strong theory (as defined in </w:t>
      </w:r>
      <w:r>
        <w:rPr>
          <w:rFonts w:ascii="arial" w:eastAsia="arial" w:hAnsi="arial" w:cs="arial"/>
          <w:b/>
          <w:i w:val="0"/>
          <w:strike w:val="0"/>
          <w:noProof w:val="0"/>
          <w:color w:val="000000"/>
          <w:position w:val="0"/>
          <w:sz w:val="20"/>
          <w:u w:val="none"/>
          <w:vertAlign w:val="baseline"/>
        </w:rPr>
        <w:t> [*16651] </w:t>
      </w:r>
      <w:r>
        <w:rPr>
          <w:rFonts w:ascii="arial" w:eastAsia="arial" w:hAnsi="arial" w:cs="arial"/>
          <w:b w:val="0"/>
          <w:i w:val="0"/>
          <w:strike w:val="0"/>
          <w:noProof w:val="0"/>
          <w:color w:val="000000"/>
          <w:position w:val="0"/>
          <w:sz w:val="20"/>
          <w:u w:val="none"/>
          <w:vertAlign w:val="baseline"/>
        </w:rPr>
        <w:t xml:space="preserve"> this notice) and for information on the other eligibility and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i3 program includes a statutory requirement for a private-sector match for all i3 grantees. For Development grants, an applicant must obtain matching funds or in-kind donations from the private sector equal to at least 15 percent of its grant award. Each highest-rated applicant, as identified by the Department following peer review of the applications, must submit evidence of at least 50 percent of the required private-sector match prior to the awarding of an i3 grant. An applicant must provide evidence of the remaining 50 percent of the required private-sector match no later than three months after the project start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FY 2015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three months after January 1, 2016, or by April 1, 2016). The grant will be terminated if the grantee does not secure its private-sector match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also includes selection criteria for the FY 2015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are designed to ensure that applications selected for funding have the best potential to generate substantial improvements in student achievement (and other key outcomes), and include well-articulated plans for the implementation and evaluation of the proposed projects. Applicants should review the selection criteria and submission instructions carefully to ensure their applications address this year's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entity that submits a full application for a Development grant must include the following information in its application: An estimate of the number of students to be served by the project; evidence of the applicant's ability to implement and appropriately evaluate the proposed project; and information about its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management capacity, financial resources, qualified personnel) to implement the project at the proposed level of scale. We recognize that LEAs are not typically responsible for taking their processes, products, strategies, or practices to scale; however, all applicants can and should develop plans to potentially take them to scale, as well as partner with others to disseminate their effective processes, products, strategies,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screen applications that are submitted for Development grants in accordance with the requirements in this notice and determine which applications meet eligibility and other requirements. Peer reviewers will review all applications for Development grants that are submitted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note, however, that we may screen for eligibility at multiple points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including before and after peer review; and applicants that are determined to be ineligible will not receive a grant award regardless of peer reviewer scores or comments. If we determine that a Development grant application is not supported by evidence of promise (as defined in this notice) or a strong theory (as defined in this notice), or that the applicant does not demonstrate the required prior record of improvement, or does not meet any other i3 requirement, the application will not be considered for funding.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five absolute priorities and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Absolute Priorities 2 and 5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2013 </w:t>
      </w:r>
      <w:r>
        <w:rPr>
          <w:rFonts w:ascii="arial" w:eastAsia="arial" w:hAnsi="arial" w:cs="arial"/>
          <w:b w:val="0"/>
          <w:i/>
          <w:strike w:val="0"/>
          <w:noProof w:val="0"/>
          <w:color w:val="000000"/>
          <w:position w:val="0"/>
          <w:sz w:val="20"/>
          <w:u w:val="none"/>
          <w:vertAlign w:val="baseline"/>
        </w:rPr>
        <w:t>(78 FR 18681)</w:t>
      </w:r>
      <w:r>
        <w:rPr>
          <w:rFonts w:ascii="arial" w:eastAsia="arial" w:hAnsi="arial" w:cs="arial"/>
          <w:b w:val="0"/>
          <w:i w:val="0"/>
          <w:strike w:val="0"/>
          <w:noProof w:val="0"/>
          <w:color w:val="000000"/>
          <w:position w:val="0"/>
          <w:sz w:val="20"/>
          <w:u w:val="none"/>
          <w:vertAlign w:val="baseline"/>
        </w:rPr>
        <w:t xml:space="preserve"> (the "2013 i3 NFP"). Absolute Priorities 1, 3, and 4 are from the Department's notice of final supplemental priorities and definitions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4"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priorities are absolute priorities. Under 34 CFR 75.105(c)(3) we consider only applications that meet one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Development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of the five absolute priorities constitutes its own funding category. The Secretary intends to award grants under each absolute priority for which applications of sufficient quality are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for a Development grant must choose one of the five absolute priorities to address in its pre-application, and full application, if the applicant is invited to, or chooses to, submit a full application. Both pre-applications and full applications will be peer reviewed and scored; and because scores will be rank ordered by absolute priority, it is essential that an applicant clearly identify the specific absolute priority that the proposed project addresses. It is also important to note that applicants who choose to submit an application under the absolute priority for Serving Rural Communities must identify an additional absolute priority. Regardless, the peer-reviewed scores for applications submitted under the Serving Rural Communities priority will be ranked with other applications under its priority, and not included in the ranking for the additional priority that the applicant identified. This design helps us ensure that applicants under the Serving Rural Communities priority receive an "apples to apples" comparison with other rural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 Improving the Effectiveness of Principals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increase the number and percentage of highly effective principals by implementing practices or strategies that support districts in hiring, evaluating, supporting, and retaining effective principals.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priority, principal effectiveness must be measured using a high-quality principal evaluation and support system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2--Improving Science, Technology, Engineering, and Mathematics (STEM)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address the following priority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Expanding high-quality out-of-school and extended-day activities, including extending the day, week, or year, or before- or after- school, or summer learning programs, that provide students with opportunities for deliberate practice that increase STEM learning, engagement, and expertise.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 Leveraging Technology To Support Instructional Practice and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leverage technology through using data platforms that enable the development, visualization, and rapid analysis of data to inform and improve learning outcomes, while also protecting privacy in accordance with applicable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4--Influencing the Development of Non-Cognitive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improve students' mastery of non-cognitive skills and behaviors (such as academic behaviors, academic mindset, perseverance,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social and emotional skills, and approaches toward learning strategies) and enhance student motivation and engagement in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5--Serving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address one of </w:t>
      </w:r>
      <w:r>
        <w:rPr>
          <w:rFonts w:ascii="arial" w:eastAsia="arial" w:hAnsi="arial" w:cs="arial"/>
          <w:b/>
          <w:i w:val="0"/>
          <w:strike w:val="0"/>
          <w:noProof w:val="0"/>
          <w:color w:val="000000"/>
          <w:position w:val="0"/>
          <w:sz w:val="20"/>
          <w:u w:val="none"/>
          <w:vertAlign w:val="baseline"/>
        </w:rPr>
        <w:t> [*16652] </w:t>
      </w:r>
      <w:r>
        <w:rPr>
          <w:rFonts w:ascii="arial" w:eastAsia="arial" w:hAnsi="arial" w:cs="arial"/>
          <w:b w:val="0"/>
          <w:i w:val="0"/>
          <w:strike w:val="0"/>
          <w:noProof w:val="0"/>
          <w:color w:val="000000"/>
          <w:position w:val="0"/>
          <w:sz w:val="20"/>
          <w:u w:val="none"/>
          <w:vertAlign w:val="baseline"/>
        </w:rPr>
        <w:t xml:space="preserve"> the absolute priorities established for the 2015 Development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under which the majority of students to be served are enrolled in rural local educational agencies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34 CFR 75.105(c)(2)(i) we award an additional three points to an application that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priority 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Priority--Supporting Novice i3 Applicants (Zero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applicants that have never directly received a grant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for "high-quality principal evaluation and support system" is from the Supplemental Priorities. The definitions of "evidence of promise," "logic model," "national level," "quasi-experimental design study," "randomized controlled trial," "regional level," "relevant outcome," "strong theory" and "What Works Clearinghouse Evidence Standards" are from 34 CFR 77.1. All other definitions are from the 2013 i3 NFP. We may apply these definitions in any year in which this program is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Consortium of schools</w:t>
      </w:r>
      <w:r>
        <w:rPr>
          <w:rFonts w:ascii="arial" w:eastAsia="arial" w:hAnsi="arial" w:cs="arial"/>
          <w:b w:val="0"/>
          <w:i w:val="0"/>
          <w:strike w:val="0"/>
          <w:noProof w:val="0"/>
          <w:color w:val="000000"/>
          <w:position w:val="0"/>
          <w:sz w:val="20"/>
          <w:u w:val="none"/>
          <w:vertAlign w:val="baseline"/>
        </w:rPr>
        <w:t xml:space="preserve"> means two or more public elementary or secondary schools acting collaboratively for the purpose of applying for and implementing an i3 grant jointly with an eligible nonprofit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is defined by a school's LEA in a manner consistent with the corresponding State's Teacher Equity Plan, as required by section 1111(b)(8)(C) of the Elementary and Secondary Education Act of 1965, as amended (ESEA). The applicant must provide, in its i3 application, the definition(s)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w:t>
      </w:r>
      <w:r>
        <w:rPr>
          <w:rFonts w:ascii="arial" w:eastAsia="arial" w:hAnsi="arial" w:cs="arial"/>
          <w:b w:val="0"/>
          <w:i w:val="0"/>
          <w:strike w:val="0"/>
          <w:noProof w:val="0"/>
          <w:color w:val="000000"/>
          <w:position w:val="0"/>
          <w:sz w:val="20"/>
          <w:u w:val="none"/>
          <w:vertAlign w:val="baseline"/>
        </w:rPr>
        <w:t xml:space="preserve"> means a student at risk of educational failure or otherwise in need of special assistance and support, such as students who are living in poverty, who attend high-minority schools (as defined in this notice),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school graduation rate</w:t>
      </w:r>
      <w:r>
        <w:rPr>
          <w:rFonts w:ascii="arial" w:eastAsia="arial" w:hAnsi="arial" w:cs="arial"/>
          <w:b w:val="0"/>
          <w:i w:val="0"/>
          <w:strike w:val="0"/>
          <w:noProof w:val="0"/>
          <w:color w:val="000000"/>
          <w:position w:val="0"/>
          <w:sz w:val="20"/>
          <w:u w:val="none"/>
          <w:vertAlign w:val="baseline"/>
        </w:rPr>
        <w:t xml:space="preserve"> means a four-year adjusted cohort graduation rate consistent with 34 CFR 200.19(b)(1) and may also include an extended-year adjusted cohort graduation rate consistent with 34 CFR 200.19(b)(1)(v) if the State in which the proposed project is implemented has been approved by the Secretary to use such a rate under Title 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principal evaluation and support system</w:t>
      </w:r>
      <w:r>
        <w:rPr>
          <w:rFonts w:ascii="arial" w:eastAsia="arial" w:hAnsi="arial" w:cs="arial"/>
          <w:b w:val="0"/>
          <w:i w:val="0"/>
          <w:strike w:val="0"/>
          <w:noProof w:val="0"/>
          <w:color w:val="000000"/>
          <w:position w:val="0"/>
          <w:sz w:val="20"/>
          <w:u w:val="none"/>
          <w:vertAlign w:val="baseline"/>
        </w:rPr>
        <w:t xml:space="preserve"> means a system that provides for continuous improvement of instruction; differentiates performance using at least three performance levels; uses multiple valid measures to determine performance levels, including data on Student Growth as a significant factor and other measures of professional practice; evaluates principals on a regular basis; provides clear and timely feedback that identifies needs and guides professional development; is developed with teacher and principal involvement; and is used to inform personnel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that the evaluation is designed and carried out independent of, but in coordination with, any employees of the entities who develop a process, product, strategy, or practice and are implementing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xml:space="preserve"> means a process, product, strategy, or practice that improves (or is expected to improve) significantly upon the outcomes reached with status quo options and that can ultimately reach widespread effective usage.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be effective in a wide variety of communities,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means an entity that meets the definition of "nonprofit" under 34 CFR 77.1(c), or an institution of higher education as defined by section 101(a) of the Higher Education Act of 1965,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serve a variety of communities within a State or multiple States,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 For an LEA-based project to be considered a </w:t>
      </w:r>
      <w:r>
        <w:rPr>
          <w:rFonts w:ascii="arial" w:eastAsia="arial" w:hAnsi="arial" w:cs="arial"/>
          <w:b/>
          <w:i w:val="0"/>
          <w:strike w:val="0"/>
          <w:noProof w:val="0"/>
          <w:color w:val="000000"/>
          <w:position w:val="0"/>
          <w:sz w:val="20"/>
          <w:u w:val="none"/>
          <w:vertAlign w:val="baseline"/>
        </w:rPr>
        <w:t> [*16653] </w:t>
      </w:r>
      <w:r>
        <w:rPr>
          <w:rFonts w:ascii="arial" w:eastAsia="arial" w:hAnsi="arial" w:cs="arial"/>
          <w:b w:val="0"/>
          <w:i w:val="0"/>
          <w:strike w:val="0"/>
          <w:noProof w:val="0"/>
          <w:color w:val="000000"/>
          <w:position w:val="0"/>
          <w:sz w:val="20"/>
          <w:u w:val="none"/>
          <w:vertAlign w:val="baseline"/>
        </w:rPr>
        <w:t xml:space="preserve"> regional-level project, a process, product, strategy, or practice must serve students in more than one LEA, unless the process, product, strategy, or practice is implemented in a State in which the State educational agency is the sole educational agency for all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 local educational agency (LEA) that is eligible under the Small Rural School Achievement (SRSA) program or the Rural and Low-Income School (RLIS) program authorized under Title VI, Part B of the ESEA. Eligible applicants may determine whether a particular LEA is eligible for these programs by referring to information on the Department's Web site at </w:t>
      </w:r>
      <w:r>
        <w:rPr>
          <w:rFonts w:ascii="arial" w:eastAsia="arial" w:hAnsi="arial" w:cs="arial"/>
          <w:b w:val="0"/>
          <w:i/>
          <w:strike w:val="0"/>
          <w:noProof w:val="0"/>
          <w:color w:val="000000"/>
          <w:position w:val="0"/>
          <w:sz w:val="20"/>
          <w:u w:val="none"/>
          <w:vertAlign w:val="baseline"/>
        </w:rPr>
        <w:t>www2.ed.gov/nclb/freedom/local/reap.html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grades and subjects in which assessments are required under ESEA section 1111(b)(3): (1) A student's score on such assessments and may include (2) other measures of student learning, such as those described in paragraph (b), provided they are rigorous and comparable across schools within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grades and subjects in which assessments are not required under ESEA section 1111(b)(3): Alternative measures of student learning and performance such as student results on pre-tests, end-of-course tests, and objective performance-based assessments; student learning objectives; student performance on English language proficiency assessments; and other measures of student achievement that are rigorous and comparable across schools within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growth</w:t>
      </w:r>
      <w:r>
        <w:rPr>
          <w:rFonts w:ascii="arial" w:eastAsia="arial" w:hAnsi="arial" w:cs="arial"/>
          <w:b w:val="0"/>
          <w:i w:val="0"/>
          <w:strike w:val="0"/>
          <w:noProof w:val="0"/>
          <w:color w:val="000000"/>
          <w:position w:val="0"/>
          <w:sz w:val="20"/>
          <w:u w:val="none"/>
          <w:vertAlign w:val="baseline"/>
        </w:rPr>
        <w:t xml:space="preserve"> means the change in student achievement (as defined in this notice) for an individual student between two or more points in time. An applicant may also include other measures that are rigorous and comparable across classrooms.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5"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Recovery and Reinvestment Act of 2009, Division A, Section 14007, Pub. L. 111-5.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2013 i3 NFP </w:t>
      </w:r>
      <w:r>
        <w:rPr>
          <w:rFonts w:ascii="arial" w:eastAsia="arial" w:hAnsi="arial" w:cs="arial"/>
          <w:b w:val="0"/>
          <w:i/>
          <w:strike w:val="0"/>
          <w:noProof w:val="0"/>
          <w:color w:val="000000"/>
          <w:position w:val="0"/>
          <w:sz w:val="20"/>
          <w:u w:val="none"/>
          <w:vertAlign w:val="baseline"/>
        </w:rPr>
        <w:t>(78 FR 18681).</w:t>
      </w:r>
      <w:r>
        <w:rPr>
          <w:rFonts w:ascii="arial" w:eastAsia="arial" w:hAnsi="arial" w:cs="arial"/>
          <w:b w:val="0"/>
          <w:i w:val="0"/>
          <w:strike w:val="0"/>
          <w:noProof w:val="0"/>
          <w:color w:val="000000"/>
          <w:position w:val="0"/>
          <w:sz w:val="20"/>
          <w:u w:val="none"/>
          <w:vertAlign w:val="baseline"/>
        </w:rPr>
        <w:t xml:space="preserve"> (e) The Supplemental Priorities </w:t>
      </w:r>
      <w:hyperlink r:id="rId14"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 or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$ 112,400,000.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estimated available funds are the total available for all three types of grants under the i3 program (Development, Validation, and Scale-up grants). Contingent upon the availability of funds and the quality of applications, we may make additional awards in FY 2016 or later years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 grants:</w:t>
      </w:r>
      <w:r>
        <w:rPr>
          <w:rFonts w:ascii="arial" w:eastAsia="arial" w:hAnsi="arial" w:cs="arial"/>
          <w:b w:val="0"/>
          <w:i w:val="0"/>
          <w:strike w:val="0"/>
          <w:noProof w:val="0"/>
          <w:color w:val="000000"/>
          <w:position w:val="0"/>
          <w:sz w:val="20"/>
          <w:u w:val="none"/>
          <w:vertAlign w:val="baseline"/>
        </w:rPr>
        <w:t xml:space="preserve"> Up to $ 3,000,000.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Validation grants:</w:t>
      </w:r>
      <w:r>
        <w:rPr>
          <w:rFonts w:ascii="arial" w:eastAsia="arial" w:hAnsi="arial" w:cs="arial"/>
          <w:b w:val="0"/>
          <w:i w:val="0"/>
          <w:strike w:val="0"/>
          <w:noProof w:val="0"/>
          <w:color w:val="000000"/>
          <w:position w:val="0"/>
          <w:sz w:val="20"/>
          <w:u w:val="none"/>
          <w:vertAlign w:val="baseline"/>
        </w:rPr>
        <w:t xml:space="preserve"> Up to $ 12,000,000.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Scale-up grants:</w:t>
      </w:r>
      <w:r>
        <w:rPr>
          <w:rFonts w:ascii="arial" w:eastAsia="arial" w:hAnsi="arial" w:cs="arial"/>
          <w:b w:val="0"/>
          <w:i w:val="0"/>
          <w:strike w:val="0"/>
          <w:noProof w:val="0"/>
          <w:color w:val="000000"/>
          <w:position w:val="0"/>
          <w:sz w:val="20"/>
          <w:u w:val="none"/>
          <w:vertAlign w:val="baseline"/>
        </w:rPr>
        <w:t xml:space="preserve"> Up to $ 20,000,000.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upper limit of the range of awards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$ 3,000,000 for development grants) is referred to as the "maximum amount of awards" in section 5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 grants:</w:t>
      </w:r>
      <w:r>
        <w:rPr>
          <w:rFonts w:ascii="arial" w:eastAsia="arial" w:hAnsi="arial" w:cs="arial"/>
          <w:b w:val="0"/>
          <w:i w:val="0"/>
          <w:strike w:val="0"/>
          <w:noProof w:val="0"/>
          <w:color w:val="000000"/>
          <w:position w:val="0"/>
          <w:sz w:val="20"/>
          <w:u w:val="none"/>
          <w:vertAlign w:val="baseline"/>
        </w:rPr>
        <w:t xml:space="preserve"> $ 3,000,000.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Validation grants:</w:t>
      </w:r>
      <w:r>
        <w:rPr>
          <w:rFonts w:ascii="arial" w:eastAsia="arial" w:hAnsi="arial" w:cs="arial"/>
          <w:b w:val="0"/>
          <w:i w:val="0"/>
          <w:strike w:val="0"/>
          <w:noProof w:val="0"/>
          <w:color w:val="000000"/>
          <w:position w:val="0"/>
          <w:sz w:val="20"/>
          <w:u w:val="none"/>
          <w:vertAlign w:val="baseline"/>
        </w:rPr>
        <w:t xml:space="preserve"> $ 11,500,000.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Scale-up grants:</w:t>
      </w:r>
      <w:r>
        <w:rPr>
          <w:rFonts w:ascii="arial" w:eastAsia="arial" w:hAnsi="arial" w:cs="arial"/>
          <w:b w:val="0"/>
          <w:i w:val="0"/>
          <w:strike w:val="0"/>
          <w:noProof w:val="0"/>
          <w:color w:val="000000"/>
          <w:position w:val="0"/>
          <w:sz w:val="20"/>
          <w:u w:val="none"/>
          <w:vertAlign w:val="baseline"/>
        </w:rPr>
        <w:t xml:space="preserve"> $ 19,000,000.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 grants:</w:t>
      </w:r>
      <w:r>
        <w:rPr>
          <w:rFonts w:ascii="arial" w:eastAsia="arial" w:hAnsi="arial" w:cs="arial"/>
          <w:b w:val="0"/>
          <w:i w:val="0"/>
          <w:strike w:val="0"/>
          <w:noProof w:val="0"/>
          <w:color w:val="000000"/>
          <w:position w:val="0"/>
          <w:sz w:val="20"/>
          <w:u w:val="none"/>
          <w:vertAlign w:val="baseline"/>
        </w:rPr>
        <w:t xml:space="preserve"> 9-11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Validation grants:</w:t>
      </w:r>
      <w:r>
        <w:rPr>
          <w:rFonts w:ascii="arial" w:eastAsia="arial" w:hAnsi="arial" w:cs="arial"/>
          <w:b w:val="0"/>
          <w:i w:val="0"/>
          <w:strike w:val="0"/>
          <w:noProof w:val="0"/>
          <w:color w:val="000000"/>
          <w:position w:val="0"/>
          <w:sz w:val="20"/>
          <w:u w:val="none"/>
          <w:vertAlign w:val="baseline"/>
        </w:rPr>
        <w:t xml:space="preserve"> 2-4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Scale-up grants:</w:t>
      </w:r>
      <w:r>
        <w:rPr>
          <w:rFonts w:ascii="arial" w:eastAsia="arial" w:hAnsi="arial" w:cs="arial"/>
          <w:b w:val="0"/>
          <w:i w:val="0"/>
          <w:strike w:val="0"/>
          <w:noProof w:val="0"/>
          <w:color w:val="000000"/>
          <w:position w:val="0"/>
          <w:sz w:val="20"/>
          <w:u w:val="none"/>
          <w:vertAlign w:val="baseline"/>
        </w:rPr>
        <w:t xml:space="preserve"> 0-1 awards.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36-60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Innovations that Improve Achievement for High-Need Students:</w:t>
      </w:r>
      <w:r>
        <w:rPr>
          <w:rFonts w:ascii="arial" w:eastAsia="arial" w:hAnsi="arial" w:cs="arial"/>
          <w:b w:val="0"/>
          <w:i w:val="0"/>
          <w:strike w:val="0"/>
          <w:noProof w:val="0"/>
          <w:color w:val="000000"/>
          <w:position w:val="0"/>
          <w:sz w:val="20"/>
          <w:u w:val="none"/>
          <w:vertAlign w:val="baseline"/>
        </w:rPr>
        <w:t xml:space="preserve"> All grantees must implement practices that are designed to improve student achievement (as defined in this notice) or student growth (as defined in this notice), close achievement gaps, decrease dropout rates, increase high school graduation rates (as defined in this notice), or increase college enrollment and completion rates for high-need students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Innovations that Serve Kindergarten-through-Grade-12 (K-12) Students:</w:t>
      </w:r>
      <w:r>
        <w:rPr>
          <w:rFonts w:ascii="arial" w:eastAsia="arial" w:hAnsi="arial" w:cs="arial"/>
          <w:b w:val="0"/>
          <w:i w:val="0"/>
          <w:strike w:val="0"/>
          <w:noProof w:val="0"/>
          <w:color w:val="000000"/>
          <w:position w:val="0"/>
          <w:sz w:val="20"/>
          <w:u w:val="none"/>
          <w:vertAlign w:val="baseline"/>
        </w:rPr>
        <w:t xml:space="preserve"> All grantees must implement practices that serve students who are in grades K-12 at some point during the funding period. To meet this requirement, projects that serve early learners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infants, toddlers, or preschoolers) must provide services or supports that extend into kindergarten or later years, and projects that serve postsecondary students must provide services or supports during the secondary grades or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Entities eligible to apply for i3 grants include either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partnership between a nonprofit organization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One or more LEAs;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consortium of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Eligibility Requirements:</w:t>
      </w:r>
      <w:r>
        <w:rPr>
          <w:rFonts w:ascii="arial" w:eastAsia="arial" w:hAnsi="arial" w:cs="arial"/>
          <w:b w:val="0"/>
          <w:i w:val="0"/>
          <w:strike w:val="0"/>
          <w:noProof w:val="0"/>
          <w:color w:val="000000"/>
          <w:position w:val="0"/>
          <w:sz w:val="20"/>
          <w:u w:val="none"/>
          <w:vertAlign w:val="baseline"/>
        </w:rPr>
        <w:t xml:space="preserve"> Except as specifically set forth in the </w:t>
      </w:r>
      <w:r>
        <w:rPr>
          <w:rFonts w:ascii="arial" w:eastAsia="arial" w:hAnsi="arial" w:cs="arial"/>
          <w:b w:val="0"/>
          <w:i/>
          <w:strike w:val="0"/>
          <w:noProof w:val="0"/>
          <w:color w:val="000000"/>
          <w:position w:val="0"/>
          <w:sz w:val="20"/>
          <w:u w:val="none"/>
          <w:vertAlign w:val="baseline"/>
        </w:rPr>
        <w:t>Note about Eligibility for an Eligible Applicant that Includes a Nonprofit Organization</w:t>
      </w:r>
      <w:r>
        <w:rPr>
          <w:rFonts w:ascii="arial" w:eastAsia="arial" w:hAnsi="arial" w:cs="arial"/>
          <w:b w:val="0"/>
          <w:i w:val="0"/>
          <w:strike w:val="0"/>
          <w:noProof w:val="0"/>
          <w:color w:val="000000"/>
          <w:position w:val="0"/>
          <w:sz w:val="20"/>
          <w:u w:val="none"/>
          <w:vertAlign w:val="baseline"/>
        </w:rPr>
        <w:t xml:space="preserve"> that follows, to be eligible for an award, an eligible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Have significantly closed the achievement gaps between groups of students described in section 1111(b)(2) of the ESEA (economically disadvantaged students, students from major racial and ethnic groups, students with limited English proficiency, students with disabilities);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Have demonstrated success in significantly increasing student academic achievement for all groups of students described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Have made significant improvements in other areas, such as high school graduation rates (as defined in this notice) or increased recruitment and placement of high-quality teachers and principals, as demonstrated with meaningful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that it has established one or more partnerships with the private sector, which may include philanthropic organizations, and that organizations in the private sector will provide matching funds in order to help bring results to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In the case of an eligible applicant that includes a nonprofit organization, provide in the application the names of </w:t>
      </w:r>
      <w:r>
        <w:rPr>
          <w:rFonts w:ascii="arial" w:eastAsia="arial" w:hAnsi="arial" w:cs="arial"/>
          <w:b/>
          <w:i w:val="0"/>
          <w:strike w:val="0"/>
          <w:noProof w:val="0"/>
          <w:color w:val="000000"/>
          <w:position w:val="0"/>
          <w:sz w:val="20"/>
          <w:u w:val="none"/>
          <w:vertAlign w:val="baseline"/>
        </w:rPr>
        <w:t> [*16654] </w:t>
      </w:r>
      <w:r>
        <w:rPr>
          <w:rFonts w:ascii="arial" w:eastAsia="arial" w:hAnsi="arial" w:cs="arial"/>
          <w:b w:val="0"/>
          <w:i w:val="0"/>
          <w:strike w:val="0"/>
          <w:noProof w:val="0"/>
          <w:color w:val="000000"/>
          <w:position w:val="0"/>
          <w:sz w:val="20"/>
          <w:u w:val="none"/>
          <w:vertAlign w:val="baseline"/>
        </w:rPr>
        <w:t xml:space="preserve"> the LEAs with which the nonprofit organization will partner, or the names of the schools in the consortium with which it will partner. If an eligible applicant that includes a nonprofit organization intends to partner with additional LEAs or schools that are not named in the application, it must describe in the application the demographic and other characteristics of these LEAs and schools and the process it will use to select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entity submitting an application should provide, in Appendix C, under "Other Attachments Form," of its application, information addressing the eligibility requirements described in this section. An applicant must provide, in its application, sufficient supporting data or other information to allow the Department to determine whether the applicant has met the eligibility requirements. Note that in order to address the statutory eligibility requirement above, applicants must provide data that demonstrate a change. In other words, applicants must provide data for at least two points in time when addressing this requirement in Appendix C of their applications. If the Department determines that an applicant has provided insufficient information in its application, the applicant will not have an opportunity to provide additional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about LEA Eligibility:</w:t>
      </w:r>
      <w:r>
        <w:rPr>
          <w:rFonts w:ascii="arial" w:eastAsia="arial" w:hAnsi="arial" w:cs="arial"/>
          <w:b w:val="0"/>
          <w:i w:val="0"/>
          <w:strike w:val="0"/>
          <w:noProof w:val="0"/>
          <w:color w:val="000000"/>
          <w:position w:val="0"/>
          <w:sz w:val="20"/>
          <w:u w:val="none"/>
          <w:vertAlign w:val="baseline"/>
        </w:rPr>
        <w:t xml:space="preserve"> For purposes of this program, an LEA is an LEA located within one of the 50 States, the District of Columbia, or the Commonwealth of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about Eligibility for an Eligible Applicant that Includes a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authorizing statute specifies that an eligible applicant that includes a nonprofit organization meets the requirements in paragraphs (a) and (b) of the eligibility requirements for this program if the nonprofit organization has a record of significantly improving student achievement, attainment, or retention. For an eligible applicant that includes a nonprofit organization, the nonprofit organization must demonstrate that it has a record of significantly improving student achievement, attainment, or retention through its record of work with an LEA or schools. Therefore, an eligible applicant that includes a nonprofit organization does not necessarily need to include as a partner for its i3 grant an LEA or a consortium of schools that meets the requirements in paragraphs (a) and (b) of the eligibility requirements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authorizing statute specifies that an eligible applicant that includes a nonprofit organization meets the requirements of paragraph (c) of the eligibility requirements in this notice if the eligible applicant demonstrates that it will meet the requirement for private-sector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To be eligible for an award, an applicant must demonstrate that one or more private-sector organizations, which may include philanthropic organizations, will provide matching funds in order to help bring project results to scale. An eligible Development applicant must obtain matching funds, or in-kind donations, equal to at least 15 percent of its Federal grant award. The highest-rated eligible applicants must submit evidence of 50 percent of the required private-sector matching funds following the peer review of applications. A Federal i3 award will not be made unless the applicant provides adequate evidence that the 50 percent of the required private-sector match has been committed or the Secretary approves the eligible applicant's request to reduce the matching-level requirement. An applicant must provide evidence of the remaining 50 percent of required private-sector match three months after the project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may consider decreasing the matching requirement on a case-by-case basis, and only in the most exceptional circumstances. An eligible applicant that anticipates being unable to meet the full amount of the private-sector matching requirement must include in its application a request that the Secretary reduce the matching-level requirement, along with a statement of the basis for the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that does not provide a request for a reduction of the matching-level requirement in its full application may not submit that request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Secretary establishes the following requirements for the i3 program. These requirements are from the 2013 i3 NFP. We may apply these requirements in any year in which this program is in effect.</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be eligible for an award, an application for a Development grant must be supported by evidence of promise (as defined in this notice) or a strong theory (as defined in this notice). Applicants must identify in Appendix D and the Applicant Information Sheet if their evidence is supported by evidence of promise or a strong theory.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Appendix D, under the "Other Attachments Form," an entity that submits a full application should provide information addressing one of the required evidence standards for Development grants. This information should include a description of the intervention(s) the applicant plans to implement and the intended student outcomes that the intervention(s) attempts to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identify in Appendix D and the Applicant Information Sheet if their evidence is supported by evidence of promise or a strong theory. An applicant submitting its Development grant application under the evidence of promise standard should identify up to two study citations to be reviewed for the purposes of meeting the i3 evidence standard requirement and include those citations in Appendix D. In addition, the applicant should specify the intervention that they plan to implement, the findings within the citations that the applicant is requesting be considered as evidence of promise, including page number(s) of specific tables if applicable. The Department will not consider a study citation that an applicant fails to clearly identify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must either ensure that all evidence is available to the Department from publicly available sources and provide links or other guidance indicating where it is available; or, in the full application, include copies of evidence in Appendix D. If the Department determines that an applicant has provided insufficient information, the applicant will not have an opportunity to provide additional information at a later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evidence standards apply to the prior research that supports the effectiveness of the proposed project. The i3 program does not restrict the source of prior research providing evidence for the proposed project. As such, an applicant could cite prior research in Appendix D for studies that were conducted by another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that is not the applicant) so long as the prior research studies cited in the application are relevant to the effectiveness of the proposed project. If an applicant applies under the evidence of promise standard but does not meet it, their application will not be reviewed under the strong theory standard.</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i3 grant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Development, Validation, and Scale-up grants) for which it applies. An applicant may not submit an application for the same proposed project under more than one type of grant.</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Limit on Grant Awards:</w:t>
      </w:r>
      <w:r>
        <w:rPr>
          <w:rFonts w:ascii="arial" w:eastAsia="arial" w:hAnsi="arial" w:cs="arial"/>
          <w:b w:val="0"/>
          <w:i w:val="0"/>
          <w:strike w:val="0"/>
          <w:noProof w:val="0"/>
          <w:color w:val="000000"/>
          <w:position w:val="0"/>
          <w:sz w:val="20"/>
          <w:u w:val="none"/>
          <w:vertAlign w:val="baseline"/>
        </w:rPr>
        <w:t xml:space="preserve"> (a) No grantee may receive more than two new grant awards of any type under the i3 program in a single year; (b) in any two-year period, no grantee may receive more than one new Scale-up or Validation grant; and (c) no grantee may receive in a single year new i3 grant awards that total an amount greater than the sum of the maximum amount of funds for a Scale-up grant and the maximum amount of funds for a Development grant for that year. For example, in a year when the maximum award value for a Scale-up grant is $ 20 million and the maximum award value </w:t>
      </w:r>
      <w:r>
        <w:rPr>
          <w:rFonts w:ascii="arial" w:eastAsia="arial" w:hAnsi="arial" w:cs="arial"/>
          <w:b/>
          <w:i w:val="0"/>
          <w:strike w:val="0"/>
          <w:noProof w:val="0"/>
          <w:color w:val="000000"/>
          <w:position w:val="0"/>
          <w:sz w:val="20"/>
          <w:u w:val="none"/>
          <w:vertAlign w:val="baseline"/>
        </w:rPr>
        <w:t> [*16655] </w:t>
      </w:r>
      <w:r>
        <w:rPr>
          <w:rFonts w:ascii="arial" w:eastAsia="arial" w:hAnsi="arial" w:cs="arial"/>
          <w:b w:val="0"/>
          <w:i w:val="0"/>
          <w:strike w:val="0"/>
          <w:noProof w:val="0"/>
          <w:color w:val="000000"/>
          <w:position w:val="0"/>
          <w:sz w:val="20"/>
          <w:u w:val="none"/>
          <w:vertAlign w:val="baseline"/>
        </w:rPr>
        <w:t xml:space="preserve"> for a Development grant is $ 3 million, no grantee may receive in a single year new grants totaling more than $ 23 million.</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Subgrants:</w:t>
      </w:r>
      <w:r>
        <w:rPr>
          <w:rFonts w:ascii="arial" w:eastAsia="arial" w:hAnsi="arial" w:cs="arial"/>
          <w:b w:val="0"/>
          <w:i w:val="0"/>
          <w:strike w:val="0"/>
          <w:noProof w:val="0"/>
          <w:color w:val="000000"/>
          <w:position w:val="0"/>
          <w:sz w:val="20"/>
          <w:u w:val="none"/>
          <w:vertAlign w:val="baseline"/>
        </w:rPr>
        <w:t xml:space="preserve"> In the case of an eligible applicant that is a partnership between a nonprofit organization and (1) one or more LEAs or (2) a consortium of schools, the partner serving as the applicant and, if funded, as the grantee, may make subgrants to one or more entities in the partnership.</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Evaluation:</w:t>
      </w:r>
      <w:r>
        <w:rPr>
          <w:rFonts w:ascii="arial" w:eastAsia="arial" w:hAnsi="arial" w:cs="arial"/>
          <w:b w:val="0"/>
          <w:i w:val="0"/>
          <w:strike w:val="0"/>
          <w:noProof w:val="0"/>
          <w:color w:val="000000"/>
          <w:position w:val="0"/>
          <w:sz w:val="20"/>
          <w:u w:val="none"/>
          <w:vertAlign w:val="baseline"/>
        </w:rPr>
        <w:t xml:space="preserve"> The grantee must conduct an independent evaluation (as defined in this notice) of its project. This evaluation must estimate the impact of the i3-supported practice (as implemented at the proposed level of scale) on a relevant outcome (as defined in this notice). The grantee must make broadly available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results of any evaluations it conducts of its funded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grantee and its independent evaluator must agree to cooperate with any technical assistance provided by the Department or its contractor and comply with the requirements of any evaluation of the program conducted by the Department. This includes providing to the Department, within 100 days of a grant award, an updated comprehensive evaluation plan in a format and using such tools as the Department may require. Grantees must update this evaluation plan at least annually to reflect any changes to the evaluation. All of these updates must be consistent with the scope and objectives of the approved application.</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Communities of Practice:</w:t>
      </w:r>
      <w:r>
        <w:rPr>
          <w:rFonts w:ascii="arial" w:eastAsia="arial" w:hAnsi="arial" w:cs="arial"/>
          <w:b w:val="0"/>
          <w:i w:val="0"/>
          <w:strike w:val="0"/>
          <w:noProof w:val="0"/>
          <w:color w:val="000000"/>
          <w:position w:val="0"/>
          <w:sz w:val="20"/>
          <w:u w:val="none"/>
          <w:vertAlign w:val="baseline"/>
        </w:rPr>
        <w:t xml:space="preserve"> Grantees must participate in, organize, or facilitate, as appropriate, communities of practice for the i3 program. A community of practice is a group of grantees that agrees to interact regularly to solve a persistent problem or improve practice in an area that is important to them.</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Within 100 days of a grant award, the grantee must provide an updated comprehensive management plan for the approved project in a format and using such tools as the Department may require.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r>
        <w:rPr>
          <w:rFonts w:ascii="arial" w:eastAsia="arial" w:hAnsi="arial" w:cs="arial"/>
          <w:b w:val="0"/>
          <w:i/>
          <w:strike w:val="0"/>
          <w:noProof w:val="0"/>
          <w:color w:val="000000"/>
          <w:position w:val="0"/>
          <w:sz w:val="20"/>
          <w:u w:val="none"/>
          <w:vertAlign w:val="baseline"/>
        </w:rPr>
        <w:t>www2.ed.gov/programs/innovation/index.html.</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6"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7"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84.411P (for pre-applications) or 84.411C (for full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Submit Application: April 20,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completing a Web-based form. When completing this form, applicants will provide (1) the applicant organization's name and address and (2) the one absolute priority the applicant intends to address. Applicants may access this form online at </w:t>
      </w:r>
      <w:hyperlink r:id="rId18" w:history="1">
        <w:r>
          <w:rPr>
            <w:rFonts w:ascii="arial" w:eastAsia="arial" w:hAnsi="arial" w:cs="arial"/>
            <w:b w:val="0"/>
            <w:i/>
            <w:strike w:val="0"/>
            <w:noProof w:val="0"/>
            <w:color w:val="0077CC"/>
            <w:position w:val="0"/>
            <w:sz w:val="20"/>
            <w:u w:val="single"/>
            <w:vertAlign w:val="baseline"/>
          </w:rPr>
          <w:t>https://www.surveymonkey.com/s/9QXGZS7</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complete this form may still submit a pre-application. Page Limit: For the pre-application, the project narrative is where you, the applicant, address the selection criteria that reviewers use to evaluate your pre-application. For the full application, the project narrative (Part III of the application) is where you, the applicant, address the selection criteria that reviewers use to evaluate your full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Pre-Application page limit: Applicants should limit the pre-application narrative to no more than seven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Full-Application page limit: Applicants submitting a full application should limit the application narrative [Part III] for a Development grant application to no more than 25 pages. Applicants are also strongly encouraged not to include lengthy appendices for the full application that contain information that they were unable to include in the narrative. Aside from the required forms, applicants should not include appendices in their pre-applications. Applicants for both pre- and full applications should use the following standards: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full application does not apply to Part I, the cover sheet; Part II, the budget section, including the narrative budget justification; Part IV, the assurances and certifications; or the one-page abstract, the resumes, the bibliography, or the letters of support for the full application. However, the page limit does apply to all of the application narrative section [Part III] of the full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i3 program, some applications may include business information that applicants consider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34 CFR 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process followed in the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we plan on posting the project narrative section of funded i3 applications on the Department's Web site so you may wish to request confidentiality of business information. Identifying proprietary information in the submitted application will help facilitate this public disclosure process. </w:t>
      </w:r>
      <w:r>
        <w:rPr>
          <w:rFonts w:ascii="arial" w:eastAsia="arial" w:hAnsi="arial" w:cs="arial"/>
          <w:b/>
          <w:i w:val="0"/>
          <w:strike w:val="0"/>
          <w:noProof w:val="0"/>
          <w:color w:val="000000"/>
          <w:position w:val="0"/>
          <w:sz w:val="20"/>
          <w:u w:val="none"/>
          <w:vertAlign w:val="baseline"/>
        </w:rPr>
        <w:t> [*16656]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Pre-Applications Available: April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Submit Pre-Application: April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Informational Meetings: The i3 program intends to hold Webinars designed to provide technical assistance to interested applicants for all three types of grants. Detailed information regarding these meetings will be provided on the i3 Web site at </w:t>
      </w:r>
      <w:r>
        <w:rPr>
          <w:rFonts w:ascii="arial" w:eastAsia="arial" w:hAnsi="arial" w:cs="arial"/>
          <w:b w:val="0"/>
          <w:i/>
          <w:strike w:val="0"/>
          <w:noProof w:val="0"/>
          <w:color w:val="000000"/>
          <w:position w:val="0"/>
          <w:sz w:val="20"/>
          <w:u w:val="none"/>
          <w:vertAlign w:val="baseline"/>
        </w:rPr>
        <w:t>www2.ed.gov/programs/innovation/index.html.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Pre-Applications: April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Full Applications: The Department will announce on its Web site the deadline date for transmission of full applications for Development grants. Under the pre-application process, peer reviewers will read and score the shorter pre-application against an abbreviated set of selection criteria, and entities that submit highly rated pre-applications will be invited to submit full applications for a Development grant. Other pre-applicants may choose to submit a full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 and full applications for Development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of Full Applications: 60 calendar days after the deadline date for transmittal of full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for the i3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(both pre- and full applications) for Development grants under the i3 program, CFDA Number 84.411P (pre-applications) and CFDA Number 84.411C (full applications), must be submitted electronically using the Governmentwide Grants.gov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and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i3 program at </w:t>
      </w:r>
      <w:r>
        <w:rPr>
          <w:rFonts w:ascii="arial" w:eastAsia="arial" w:hAnsi="arial" w:cs="arial"/>
          <w:b/>
          <w:i w:val="0"/>
          <w:strike w:val="0"/>
          <w:noProof w:val="0"/>
          <w:color w:val="000000"/>
          <w:position w:val="0"/>
          <w:sz w:val="20"/>
          <w:u w:val="none"/>
          <w:vertAlign w:val="baseline"/>
        </w:rPr>
        <w:t> [*16657]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84.411, not 84.411P or 84.411C).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Kelly Terpak, U.S. Department of Education, 400 Maryland Avenue SW., Room 4C107, Washington, DC 20202-5930. FAX: (202) 205-5631.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w:t>
      </w:r>
      <w:r>
        <w:rPr>
          <w:rFonts w:ascii="arial" w:eastAsia="arial" w:hAnsi="arial" w:cs="arial"/>
          <w:b/>
          <w:i w:val="0"/>
          <w:strike w:val="0"/>
          <w:noProof w:val="0"/>
          <w:color w:val="000000"/>
          <w:position w:val="0"/>
          <w:sz w:val="20"/>
          <w:u w:val="none"/>
          <w:vertAlign w:val="baseline"/>
        </w:rPr>
        <w:t> [*16658] </w:t>
      </w:r>
      <w:r>
        <w:rPr>
          <w:rFonts w:ascii="arial" w:eastAsia="arial" w:hAnsi="arial" w:cs="arial"/>
          <w:b w:val="0"/>
          <w:i w:val="0"/>
          <w:strike w:val="0"/>
          <w:noProof w:val="0"/>
          <w:color w:val="000000"/>
          <w:position w:val="0"/>
          <w:sz w:val="20"/>
          <w:u w:val="none"/>
          <w:vertAlign w:val="baseline"/>
        </w:rPr>
        <w:t xml:space="preserve"> Department at the following address: U.S. Department of Education, Application Control Center, Attention: (CFDA Number 84.411C or 84.411P), LBJ Basement Level 1, 400 Maryland Avenue SW., Washington, DC 20202-4260.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Entities submitting pre-applications for Development grants will use CFDA Number 84.411P, and entities submitting full applications for Development grants will use CFDA Number 84.411C.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84.411C or 84.411P), 550 12th Street SW., Room 7039, Potomac Center Plaza, Washington, DC 20202-4260.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Entities submitting pre-applications for Development grants will use 84.411P, and entities submitting full applications for Development grants will use 84.411C.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separate selection criteria for pre-applications and full applications. The selection criteria for the Development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2013 i3 NFP and 34 CFR 75.210, and are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points assigned to each criterion are indicated in the parentheses next to the criterion. An applicant may earn up to a total of 20 points based on the selection criteria for the pre-application. An applicant may earn up to a total of 100 points based on the selection criteria for the full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must provide information on how its proposed project addresses the selection criteria in the project narrative section of its application. In responding to the selection criteria, applicants submitting both pre- and full applications should keep in mind that peer reviewers may consider only the information provided in the written application when scoring and commenting on the application. Therefore, applicants should draft their responses with the goal of helping peer reviewers understand the following: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the applicant is proposing to do, including the absolute priority under which the applicant intends the application to be reviewed;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proposed project will improve upon existing processes, products, strategies, or practices for addressing similar needs;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the outcomes of the project will be if it is successful;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procedures are in place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Criteria for the Development Grant Pre-Application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project, the Secretary considers the extent to which the proposed project involves the development or demonstration of promising new strategies that build on, or are alternatives to, existing strategies.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Quality of Project Design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proposed project design, the Secretary considers the extent to which the goals, objectives, and outcomes to be achieved by the project are clearly specified and measured. (34 CFR 75.210)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Criteria for the Development Grant Full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involves the development or demonstration of promising new strategies that build on, or are alternatives to, existing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national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potential replicability of the proposed project or strategies, including, as appropriate, the potential for implementation in a variety of settings.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Quality of the Project Design and Management Plan (Up to 45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proposed project design,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procedures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mechanisms the applicant will use to broadly disseminate information on its project so as to support further development or replication.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Quality of Project Evaluation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evaluation to be conducted,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clarity and importance of the key questions to be addressed by the project evaluation, and the appropriateness of the methods for how each question will be addressed.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 methods of evaluation will, if well-implemented, </w:t>
      </w:r>
      <w:r>
        <w:rPr>
          <w:rFonts w:ascii="arial" w:eastAsia="arial" w:hAnsi="arial" w:cs="arial"/>
          <w:b/>
          <w:i w:val="0"/>
          <w:strike w:val="0"/>
          <w:noProof w:val="0"/>
          <w:color w:val="000000"/>
          <w:position w:val="0"/>
          <w:sz w:val="20"/>
          <w:u w:val="none"/>
          <w:vertAlign w:val="baseline"/>
        </w:rPr>
        <w:t> [*16659] </w:t>
      </w:r>
      <w:r>
        <w:rPr>
          <w:rFonts w:ascii="arial" w:eastAsia="arial" w:hAnsi="arial" w:cs="arial"/>
          <w:b w:val="0"/>
          <w:i w:val="0"/>
          <w:strike w:val="0"/>
          <w:noProof w:val="0"/>
          <w:color w:val="000000"/>
          <w:position w:val="0"/>
          <w:sz w:val="20"/>
          <w:u w:val="none"/>
          <w:vertAlign w:val="baseline"/>
        </w:rPr>
        <w:t xml:space="preserve"> produce evidence about the project's effectiveness that would meet the What Works Clearinghouse Evidence Standards with reservations.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plan includes sufficient resources to carry out the project evaluation effectively. (2013 i3 NFP)</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are encouraged to design an evaluation that will report findings on English Learners, students with disabilities, and other subgroups. Additionally, applicants may wish to review the following technical assistance resources on evaluation: (1) WWC Procedures and Standards Handbook: </w:t>
      </w:r>
      <w:hyperlink r:id="rId23"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24"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val="0"/>
          <w:strike w:val="0"/>
          <w:noProof w:val="0"/>
          <w:color w:val="000000"/>
          <w:position w:val="0"/>
          <w:sz w:val="20"/>
          <w:u w:val="none"/>
          <w:vertAlign w:val="baseline"/>
        </w:rPr>
        <w:t xml:space="preserve">. In addition, we invite applicants to view an optional Webinar recording that was hosted by the Institute of Education Sciences on March 3, 2015. This Webinar discussed strategies for designing and executing well-designed quasi-experimental design studies. Applicants interested in viewing this Webinar may find more information at the following Web site: </w:t>
      </w:r>
      <w:hyperlink r:id="rId25" w:history="1">
        <w:r>
          <w:rPr>
            <w:rFonts w:ascii="arial" w:eastAsia="arial" w:hAnsi="arial" w:cs="arial"/>
            <w:b w:val="0"/>
            <w:i/>
            <w:strike w:val="0"/>
            <w:noProof w:val="0"/>
            <w:color w:val="0077CC"/>
            <w:position w:val="0"/>
            <w:sz w:val="20"/>
            <w:u w:val="single"/>
            <w:vertAlign w:val="baseline"/>
          </w:rPr>
          <w:t>http://ies.ed.gov/ncee/wwc/news.aspx?sid=23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In order to receive an i3 Development grant, an entity must submit a pre-application. The pre-application will be reviewed and scored by peer reviewers using the two selection criteria established in this notice. We will inform the entities that submitted pre-applications of the results of the peer review process. Entities with highly rated pre-applications will be invited to submit full applications. Other pre-applicants may choose to submit a full application. Scores received on pre-applications will not carry over to the review of the full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earlier in this notice, before making awards, we will screen applications submitted in accordance with the requirements in this notice to determine which applications have met eligibility and other statutory requirements. This screening process may occur at various stages of the pre-application and full application processes; applicants that are determined ineligible will not receive a grant, regardless of peer reviewer scores 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pre- and full application review processes, we will use independent peer reviewers with varied backgrounds and professions including pre-kindergarten-grade 12 teachers and principals, college and university educators, researchers and evaluators, social entrepreneurs, strategy consultants, grant makers and managers, and others with education expertise. All reviewers will be thoroughly screened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Peer reviewers will read, prepare a written evaluation, and score the assigned pre-applications and full applications, using the respective selection criteria provided in this notice. For Development grant pre-applications, peer reviewers will review and score the applications based on the two selection criteria for pre-applications listed in the </w:t>
      </w:r>
      <w:r>
        <w:rPr>
          <w:rFonts w:ascii="arial" w:eastAsia="arial" w:hAnsi="arial" w:cs="arial"/>
          <w:b w:val="0"/>
          <w:i/>
          <w:strike w:val="0"/>
          <w:noProof w:val="0"/>
          <w:color w:val="000000"/>
          <w:position w:val="0"/>
          <w:sz w:val="20"/>
          <w:u w:val="none"/>
          <w:vertAlign w:val="baseline"/>
        </w:rPr>
        <w:t>Selection Criteria for the Development Grant Pre-Application</w:t>
      </w:r>
      <w:r>
        <w:rPr>
          <w:rFonts w:ascii="arial" w:eastAsia="arial" w:hAnsi="arial" w:cs="arial"/>
          <w:b w:val="0"/>
          <w:i w:val="0"/>
          <w:strike w:val="0"/>
          <w:noProof w:val="0"/>
          <w:color w:val="000000"/>
          <w:position w:val="0"/>
          <w:sz w:val="20"/>
          <w:u w:val="none"/>
          <w:vertAlign w:val="baseline"/>
        </w:rPr>
        <w:t xml:space="preserve"> section of this notice. For full applications submitted for Development grants, peer reviewers will review and score the applications based on the three selection criteria for full applications listed in the </w:t>
      </w:r>
      <w:r>
        <w:rPr>
          <w:rFonts w:ascii="arial" w:eastAsia="arial" w:hAnsi="arial" w:cs="arial"/>
          <w:b w:val="0"/>
          <w:i/>
          <w:strike w:val="0"/>
          <w:noProof w:val="0"/>
          <w:color w:val="000000"/>
          <w:position w:val="0"/>
          <w:sz w:val="20"/>
          <w:u w:val="none"/>
          <w:vertAlign w:val="baseline"/>
        </w:rPr>
        <w:t>Selection Criteria for the Development Grant Full Application</w:t>
      </w:r>
      <w:r>
        <w:rPr>
          <w:rFonts w:ascii="arial" w:eastAsia="arial" w:hAnsi="arial" w:cs="arial"/>
          <w:b w:val="0"/>
          <w:i w:val="0"/>
          <w:strike w:val="0"/>
          <w:noProof w:val="0"/>
          <w:color w:val="000000"/>
          <w:position w:val="0"/>
          <w:sz w:val="20"/>
          <w:u w:val="none"/>
          <w:vertAlign w:val="baseline"/>
        </w:rPr>
        <w:t xml:space="preserve"> section of this notice. If an eligible applicant chooses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(Supporting Novice i3 Applicants) to earn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the Department will review its list of previous i3 grantees in scoring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i3 program is to expand the implementation of, and investment in, innovative practices that are demonstrated to have an impact on improving student achievement or student growth for high-need students. We have established several performance measures for the i3 Development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Short-term performance measures:</w:t>
      </w:r>
      <w:r>
        <w:rPr>
          <w:rFonts w:ascii="arial" w:eastAsia="arial" w:hAnsi="arial" w:cs="arial"/>
          <w:b w:val="0"/>
          <w:i w:val="0"/>
          <w:strike w:val="0"/>
          <w:noProof w:val="0"/>
          <w:color w:val="000000"/>
          <w:position w:val="0"/>
          <w:sz w:val="20"/>
          <w:u w:val="none"/>
          <w:vertAlign w:val="baseline"/>
        </w:rPr>
        <w:t xml:space="preserve"> (1) The percentage of grantees whose projects are being implemented with fidelity to the approved design; (2) the percentage of programs, practices, or strategies supported by a Development grant with ongoing evaluations that provide evidence of their promise for improving student outcomes; (3) the percentage of programs, practices, or strategies supported by a Development grant with ongoing evaluations that are </w:t>
      </w:r>
      <w:r>
        <w:rPr>
          <w:rFonts w:ascii="arial" w:eastAsia="arial" w:hAnsi="arial" w:cs="arial"/>
          <w:b/>
          <w:i w:val="0"/>
          <w:strike w:val="0"/>
          <w:noProof w:val="0"/>
          <w:color w:val="000000"/>
          <w:position w:val="0"/>
          <w:sz w:val="20"/>
          <w:u w:val="none"/>
          <w:vertAlign w:val="baseline"/>
        </w:rPr>
        <w:t> [*16660] </w:t>
      </w:r>
      <w:r>
        <w:rPr>
          <w:rFonts w:ascii="arial" w:eastAsia="arial" w:hAnsi="arial" w:cs="arial"/>
          <w:b w:val="0"/>
          <w:i w:val="0"/>
          <w:strike w:val="0"/>
          <w:noProof w:val="0"/>
          <w:color w:val="000000"/>
          <w:position w:val="0"/>
          <w:sz w:val="20"/>
          <w:u w:val="none"/>
          <w:vertAlign w:val="baseline"/>
        </w:rPr>
        <w:t xml:space="preserve"> providing high-quality implementation data and performance feedback that allow for periodic assessment of progress toward achieving intended outcomes; and (4) the cost per student actually served by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Long-term performance measures:</w:t>
      </w:r>
      <w:r>
        <w:rPr>
          <w:rFonts w:ascii="arial" w:eastAsia="arial" w:hAnsi="arial" w:cs="arial"/>
          <w:b w:val="0"/>
          <w:i w:val="0"/>
          <w:strike w:val="0"/>
          <w:noProof w:val="0"/>
          <w:color w:val="000000"/>
          <w:position w:val="0"/>
          <w:sz w:val="20"/>
          <w:u w:val="none"/>
          <w:vertAlign w:val="baseline"/>
        </w:rPr>
        <w:t xml:space="preserve"> (1) The percentage of programs, practices, or strategies supported by a Development grant with a completed evaluation that provides evidence of their promise for improving student outcomes; (2) the percentage of programs, practices, or strategies supported by a Development grant with a completed evaluation that provides information about the key elements and approach of the project so as to facilitate further development, replication, or testing in other settings; and (3) the cost per student for programs, practices, or strategies that were proven promising at improving educational outcomes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Kelly Terpak, U.S. Department of Education, 400 Maryland Avenue SW., Room 4C107, Washington, DC 20202-5930. Telephone: (202) 453-7122. FAX: (202) 205-5631 or by email: </w:t>
      </w:r>
      <w:hyperlink r:id="rId27" w:history="1">
        <w:r>
          <w:rPr>
            <w:rFonts w:ascii="arial" w:eastAsia="arial" w:hAnsi="arial" w:cs="arial"/>
            <w:b w:val="0"/>
            <w:i/>
            <w:strike w:val="0"/>
            <w:noProof w:val="0"/>
            <w:color w:val="0077CC"/>
            <w:position w:val="0"/>
            <w:sz w:val="20"/>
            <w:u w:val="single"/>
            <w:vertAlign w:val="baseline"/>
          </w:rPr>
          <w:t>i3@ed.gov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16648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www.ed.gov/ocr/docs/guidance-ese-201111.pdf" TargetMode="External" /><Relationship Id="rId11" Type="http://schemas.openxmlformats.org/officeDocument/2006/relationships/hyperlink" Target="http://www.esa.doc.gov/sites/default/files/stemfinalyjuly14_1.pdf" TargetMode="External" /><Relationship Id="rId12" Type="http://schemas.openxmlformats.org/officeDocument/2006/relationships/hyperlink" Target="http://bls.gov/emp/" TargetMode="External" /><Relationship Id="rId13" Type="http://schemas.openxmlformats.org/officeDocument/2006/relationships/hyperlink" Target="https://ccsr.uchicago.edu/sites/default/files/publications/Noncognitive%20Report.pdf" TargetMode="External" /><Relationship Id="rId14" Type="http://schemas.openxmlformats.org/officeDocument/2006/relationships/hyperlink" Target="https://advance.lexis.com/api/document?collection=administrative-codes&amp;id=urn:contentItem:5DT7-0130-006W-81YP-00000-00&amp;context=" TargetMode="External" /><Relationship Id="rId15" Type="http://schemas.openxmlformats.org/officeDocument/2006/relationships/hyperlink" Target="http://ies.ed.gov/ncee/wwc/DocumentSum.aspx?sid=19" TargetMode="External" /><Relationship Id="rId16" Type="http://schemas.openxmlformats.org/officeDocument/2006/relationships/hyperlink" Target="www.EDPubs.gov" TargetMode="External" /><Relationship Id="rId17" Type="http://schemas.openxmlformats.org/officeDocument/2006/relationships/hyperlink" Target="mailto:edpubs@inet.ed.gov" TargetMode="External" /><Relationship Id="rId18" Type="http://schemas.openxmlformats.org/officeDocument/2006/relationships/hyperlink" Target="https://www.surveymonkey.com/s/9QXGZS7" TargetMode="External" /><Relationship Id="rId19" Type="http://schemas.openxmlformats.org/officeDocument/2006/relationships/hyperlink" Target="www.SAM.gov" TargetMode="External" /><Relationship Id="rId2" Type="http://schemas.openxmlformats.org/officeDocument/2006/relationships/webSettings" Target="webSettings.xml" /><Relationship Id="rId20" Type="http://schemas.openxmlformats.org/officeDocument/2006/relationships/hyperlink" Target="www.grants.gov/web/grants/register.html" TargetMode="External" /><Relationship Id="rId21" Type="http://schemas.openxmlformats.org/officeDocument/2006/relationships/hyperlink" Target="www.Grants.gov" TargetMode="External" /><Relationship Id="rId22" Type="http://schemas.openxmlformats.org/officeDocument/2006/relationships/hyperlink" Target="www.G5.gov" TargetMode="External" /><Relationship Id="rId23" Type="http://schemas.openxmlformats.org/officeDocument/2006/relationships/hyperlink" Target="http://ies.ed.gov/ncee/wwc/references/idocviewer/doc.aspx?docid=19&amp;tocid=1" TargetMode="External" /><Relationship Id="rId24" Type="http://schemas.openxmlformats.org/officeDocument/2006/relationships/hyperlink" Target="http://ies.ed.gov/ncee/tech_methods/" TargetMode="External" /><Relationship Id="rId25" Type="http://schemas.openxmlformats.org/officeDocument/2006/relationships/hyperlink" Target="http://ies.ed.gov/ncee/wwc/news.aspx?sid=23" TargetMode="External" /><Relationship Id="rId26" Type="http://schemas.openxmlformats.org/officeDocument/2006/relationships/hyperlink" Target="www.ed.gov/fund/grant/apply/appforms/appforms.html" TargetMode="External" /><Relationship Id="rId27" Type="http://schemas.openxmlformats.org/officeDocument/2006/relationships/hyperlink" Target="mailto:i3@ed.gov"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MN-GHF0-006W-82XC-00000-00&amp;context=" TargetMode="External" /><Relationship Id="rId8" Type="http://schemas.openxmlformats.org/officeDocument/2006/relationships/hyperlink" Target="www.gpo.gov/fdsys" TargetMode="External" /><Relationship Id="rId9" Type="http://schemas.openxmlformats.org/officeDocument/2006/relationships/hyperlink" Target="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16648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71556554</vt:lpwstr>
  </property>
  <property fmtid="{D5CDD505-2E9C-101B-9397-08002B2CF9AE}" pid="3" name="LADocCount">
    <vt:lpwstr>1</vt:lpwstr>
  </property>
  <property fmtid="{D5CDD505-2E9C-101B-9397-08002B2CF9AE}" pid="4" name="UserPermID">
    <vt:lpwstr>urn:user:PA185916758</vt:lpwstr>
  </property>
</Properties>
</file>