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1681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008, Tuesday, January 13,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1681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January 13,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Arca, Inc.; Notice of Filing and Immediate Effectiveness of Proposed Rule Change Amending the Fees for NYSE ArcaBook</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34-74011; File No. SR-NYSEARCA-2014-149]</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January 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December 24, 2014, NYSE Arca, Inc. (the "Exchange" or "NYSE Arca")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ArcaBook to: (1) Establish eligibility requirements for redistribution on a managed non-display basis and add an access fee for managed non-display data recipients, operative on January 1, 2015; and (2) establish a fee cap for redistributor internal support use, operative on March 1, 2015. The text of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for NYSE ArcaBook, as set forth on the NYSE Arca Equities Proprietary Market Data Fee Schedule ("Fee Schedule"), as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eligibility requirements for redistribution of market data on a Managed Non-Display basis and establish an access fee for Managed Non-Display data recipients, operative on January 1, 2015;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 fee cap for redistributor internal support use, operative on March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Changes to Managed Non-Display Services and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Non-Display Use of NYSE Arca Equities market data means accessing, processing, or consuming NYSE Arca Equities market data delivered via direct and/or Redistributor n4 data feeds for a purpose other than in support of a data recipient's display or further internal or external redistribution. A Redistributor approved for Managed Non-Display Services manages and controls the access to NYSE ArcaBook and does not allow for further internal distribution or external redistribution of NYSE ArcaBook by the data recipients. Managed Non-Display Services Fees apply when a data recipient's non- </w:t>
      </w:r>
      <w:r>
        <w:rPr>
          <w:rFonts w:ascii="arial" w:eastAsia="arial" w:hAnsi="arial" w:cs="arial"/>
          <w:b/>
          <w:i w:val="0"/>
          <w:strike w:val="0"/>
          <w:noProof w:val="0"/>
          <w:color w:val="000000"/>
          <w:position w:val="0"/>
          <w:sz w:val="20"/>
          <w:u w:val="none"/>
          <w:vertAlign w:val="baseline"/>
        </w:rPr>
        <w:t> [*1682] </w:t>
      </w:r>
      <w:r>
        <w:rPr>
          <w:rFonts w:ascii="arial" w:eastAsia="arial" w:hAnsi="arial" w:cs="arial"/>
          <w:b w:val="0"/>
          <w:i w:val="0"/>
          <w:strike w:val="0"/>
          <w:noProof w:val="0"/>
          <w:color w:val="000000"/>
          <w:position w:val="0"/>
          <w:sz w:val="20"/>
          <w:u w:val="none"/>
          <w:vertAlign w:val="baseline"/>
        </w:rPr>
        <w:t xml:space="preserve"> display applications are hosted by a Redistributor that has been approved for Managed Non-Display Services.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"Redistributor" means a vendor or any other person that provides an NYSE data product to a data recipient or to any system that a data recipient uses, irrespective of the means of transmission or access.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69315 (Apr. 5, 2013), </w:t>
      </w:r>
      <w:hyperlink r:id="rId12" w:history="1">
        <w:r>
          <w:rPr>
            <w:rFonts w:ascii="arial" w:eastAsia="arial" w:hAnsi="arial" w:cs="arial"/>
            <w:b w:val="0"/>
            <w:i/>
            <w:strike w:val="0"/>
            <w:noProof w:val="0"/>
            <w:color w:val="0077CC"/>
            <w:position w:val="0"/>
            <w:sz w:val="20"/>
            <w:u w:val="single"/>
            <w:vertAlign w:val="baseline"/>
          </w:rPr>
          <w:t>78 FR 21668</w:t>
        </w:r>
      </w:hyperlink>
      <w:r>
        <w:rPr>
          <w:rFonts w:ascii="arial" w:eastAsia="arial" w:hAnsi="arial" w:cs="arial"/>
          <w:b w:val="0"/>
          <w:i w:val="0"/>
          <w:strike w:val="0"/>
          <w:noProof w:val="0"/>
          <w:color w:val="000000"/>
          <w:position w:val="0"/>
          <w:sz w:val="20"/>
          <w:u w:val="none"/>
          <w:vertAlign w:val="baseline"/>
        </w:rPr>
        <w:t xml:space="preserve"> (Apr. 11, 2013) (SR-NYSEArca-2013-37) and 73011 (Sept. 5, 2014), </w:t>
      </w:r>
      <w:hyperlink r:id="rId13" w:history="1">
        <w:r>
          <w:rPr>
            <w:rFonts w:ascii="arial" w:eastAsia="arial" w:hAnsi="arial" w:cs="arial"/>
            <w:b w:val="0"/>
            <w:i/>
            <w:strike w:val="0"/>
            <w:noProof w:val="0"/>
            <w:color w:val="0077CC"/>
            <w:position w:val="0"/>
            <w:sz w:val="20"/>
            <w:u w:val="single"/>
            <w:vertAlign w:val="baseline"/>
          </w:rPr>
          <w:t>79 FR 54315</w:t>
        </w:r>
      </w:hyperlink>
      <w:r>
        <w:rPr>
          <w:rFonts w:ascii="arial" w:eastAsia="arial" w:hAnsi="arial" w:cs="arial"/>
          <w:b w:val="0"/>
          <w:i w:val="0"/>
          <w:strike w:val="0"/>
          <w:noProof w:val="0"/>
          <w:color w:val="000000"/>
          <w:position w:val="0"/>
          <w:sz w:val="20"/>
          <w:u w:val="none"/>
          <w:vertAlign w:val="baseline"/>
        </w:rPr>
        <w:t xml:space="preserve"> (Sept. 11, 2014) (SR-NYSEArca-2014-93) ("Non-Display Fee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Redistributor approved for Managed Non-Display Services is required to report to the Exchange on a monthly basis the data recipients that are receiving NYSE ArcaBook through the Redistributor's Managed Non-Display Service. A data recipient receiving NYSE ArcaBook through a Redistributor's Managed Non-Display Service does not have any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to be approved for Managed Non-Display Services, a Redistributor of the Managed Non-Display Services must be approved under the Unit-of-Count policy. n6 In connection with the retirement of the Unit-of-Count Policy, n7 eligibility for Managed Non-Display Services of NYSE ArcaBook would no longer be based on eligibility under the Unit-of-Count Policy. The Exchange proposes instead to establish eligibility requirements specifically for the redistribution of market data for Managed Non-Display Services. The Exchange also proposes to add an access fee that would apply to a data recipient that receives NYSE ArcaBook from an approved Redistributor of Managed Non-Display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62188 (May 27, 2010), </w:t>
      </w:r>
      <w:hyperlink r:id="rId14" w:history="1">
        <w:r>
          <w:rPr>
            <w:rFonts w:ascii="arial" w:eastAsia="arial" w:hAnsi="arial" w:cs="arial"/>
            <w:b w:val="0"/>
            <w:i/>
            <w:strike w:val="0"/>
            <w:noProof w:val="0"/>
            <w:color w:val="0077CC"/>
            <w:position w:val="0"/>
            <w:sz w:val="20"/>
            <w:u w:val="single"/>
            <w:vertAlign w:val="baseline"/>
          </w:rPr>
          <w:t>75 FR 70311</w:t>
        </w:r>
      </w:hyperlink>
      <w:r>
        <w:rPr>
          <w:rFonts w:ascii="arial" w:eastAsia="arial" w:hAnsi="arial" w:cs="arial"/>
          <w:b w:val="0"/>
          <w:i w:val="0"/>
          <w:strike w:val="0"/>
          <w:noProof w:val="0"/>
          <w:color w:val="000000"/>
          <w:position w:val="0"/>
          <w:sz w:val="20"/>
          <w:u w:val="none"/>
          <w:vertAlign w:val="baseline"/>
        </w:rPr>
        <w:t xml:space="preserve"> (Nov. 17, 2010) (SR-NYSEArca-2010-23) (establishing Unit-of-Count Policy for NYSE Arca BBO and NYSE Arca Trades). NYSE ArcaBook uses the Unit-of-Count Policy for purposes of determining eligibility for Managed Non-Display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The Exchange has separately proposed to retire the Unit-of-Count Policy and modify the eligibility requirements for Managed Non-Display Services for all of its proprietary market data products, including NYSE ArcaBook, and thereby harmonize the eligibility requirements for all NYSE Arca Equities data products that have Managed Non-Display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SR-NYSEArca-2014-147 (filing for NYSE Arca BBO and NYSE Arca Trades) and SR-NYSEArca-2014-148 (filing for NYSE Arca Integrated Feed) (collectively, "NYSE Arca 2014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eligibility requirements for the provision of Managed Non-Display Services would be similar to the eligibility requirements for the Unit-of-Count Policy in that they would require the Redistributor to manage and control the access to NYSE ArcaBook for data recipients' non-display applications and not allow for further internal distribution or external redistribution of the information by data recipients. In addition, to be eligible to provide Managed Non-Display Services, the Redistributor would be required to (a) host the data recipients' non-display applications in equipment located in the Redistributor's data center and/or hosted space/cage and (b) offer NYSE ArcaBook in the Redistributor's own messaging formats (rather than using raw message formats) by reformatting and/or altering NYSE ArcaBook prior to retransmission without affecting the integrity of NYSE ArcaBook and without rendering NYSE ArcaBook inaccurate, unfair, uninformative, fictitious, misleading or discriminatory. The proposed eligibility requirements are similar to data distribution models currently in use and align the Exchange with other markets.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70748 (Oct. 23, 2013), 70748 (Oct. 23, 2013), </w:t>
      </w:r>
      <w:hyperlink r:id="rId15" w:history="1">
        <w:r>
          <w:rPr>
            <w:rFonts w:ascii="arial" w:eastAsia="arial" w:hAnsi="arial" w:cs="arial"/>
            <w:b w:val="0"/>
            <w:i/>
            <w:strike w:val="0"/>
            <w:noProof w:val="0"/>
            <w:color w:val="0077CC"/>
            <w:position w:val="0"/>
            <w:sz w:val="20"/>
            <w:u w:val="single"/>
            <w:vertAlign w:val="baseline"/>
          </w:rPr>
          <w:t>78 FR 64569</w:t>
        </w:r>
      </w:hyperlink>
      <w:r>
        <w:rPr>
          <w:rFonts w:ascii="arial" w:eastAsia="arial" w:hAnsi="arial" w:cs="arial"/>
          <w:b w:val="0"/>
          <w:i w:val="0"/>
          <w:strike w:val="0"/>
          <w:noProof w:val="0"/>
          <w:color w:val="000000"/>
          <w:position w:val="0"/>
          <w:sz w:val="20"/>
          <w:u w:val="none"/>
          <w:vertAlign w:val="baseline"/>
        </w:rPr>
        <w:t xml:space="preserve"> (Oct. 29, 2013) (SR-Phlx-2013-105) (notice of filing and immediate effectiveness of proposed rule change to establish non-display Managed Data Solution for NASDAQ OMX PHLX ("Phlx")); 70269 (Aug. 27, 2013), </w:t>
      </w:r>
      <w:r>
        <w:rPr>
          <w:rFonts w:ascii="arial" w:eastAsia="arial" w:hAnsi="arial" w:cs="arial"/>
          <w:b w:val="0"/>
          <w:i/>
          <w:strike w:val="0"/>
          <w:noProof w:val="0"/>
          <w:color w:val="000000"/>
          <w:position w:val="0"/>
          <w:sz w:val="20"/>
          <w:u w:val="none"/>
          <w:vertAlign w:val="baseline"/>
        </w:rPr>
        <w:t>78 FR 54336</w:t>
      </w:r>
      <w:r>
        <w:rPr>
          <w:rFonts w:ascii="arial" w:eastAsia="arial" w:hAnsi="arial" w:cs="arial"/>
          <w:b w:val="0"/>
          <w:i w:val="0"/>
          <w:strike w:val="0"/>
          <w:noProof w:val="0"/>
          <w:color w:val="000000"/>
          <w:position w:val="0"/>
          <w:sz w:val="20"/>
          <w:u w:val="none"/>
          <w:vertAlign w:val="baseline"/>
        </w:rPr>
        <w:t xml:space="preserve"> (Sept. 3, 2013) (SR-NASDAQ-2013-106) (notice of filing and immediate effectiveness of proposed rule change to establish non-display Managed Data Solution for NASDAQ Stock Market ("NASDAQ")); and 69182 (Mar. 19, 2013), </w:t>
      </w:r>
      <w:hyperlink r:id="rId16" w:history="1">
        <w:r>
          <w:rPr>
            <w:rFonts w:ascii="arial" w:eastAsia="arial" w:hAnsi="arial" w:cs="arial"/>
            <w:b w:val="0"/>
            <w:i/>
            <w:strike w:val="0"/>
            <w:noProof w:val="0"/>
            <w:color w:val="0077CC"/>
            <w:position w:val="0"/>
            <w:sz w:val="20"/>
            <w:u w:val="single"/>
            <w:vertAlign w:val="baseline"/>
          </w:rPr>
          <w:t>78 FR 18378</w:t>
        </w:r>
      </w:hyperlink>
      <w:r>
        <w:rPr>
          <w:rFonts w:ascii="arial" w:eastAsia="arial" w:hAnsi="arial" w:cs="arial"/>
          <w:b w:val="0"/>
          <w:i w:val="0"/>
          <w:strike w:val="0"/>
          <w:noProof w:val="0"/>
          <w:color w:val="000000"/>
          <w:position w:val="0"/>
          <w:sz w:val="20"/>
          <w:u w:val="none"/>
          <w:vertAlign w:val="baseline"/>
        </w:rPr>
        <w:t xml:space="preserve"> (Mar. 26, 2013) (SR-Phlx-2013-28) (notice of filing and immediate effectiveness of proposed rule change to establish non-display Managed Data Solution for Phlx equities market PSX).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reporting requirements associated with the Managed Non-Display Service would not change. A Redistributor approved for Managed Non-Display Service would be required to report to the Exchange on a monthly basis the data recipients that are receiving NYSE ArcaBook through the Redistributor's Managed Non-Display Service. A data recipient receiving NYSE ArcaBook through a Redistributor's Managed Non-Display Service would continue not to have any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proposes to adopt an Access Fee of $ 1,000/month applicable only to data recipients that receive NYSE ArcaBook from an approved Redistributor of Managed Non-Display Services, operative January 1, 2015. Currently, data recipients are required to pay an Access Fee of $ 2,000/month to receive NYSE ArcaBook, which has not been charged to data recipients of Managed Non-Display Services of NYSE ArcaBook. Because the purpose of an access fee is to charge data recipients for access to the Exchange's proprietary market data, the Exchange believes it is appropriate to charge an access fee to all data recipients, including recipients of Managed Non-Display Services. n9 In recognition that data recipients of Managed Non-Display Services receive NYSE ArcaBook in a controlled format, the Exchange proposes to establish an Access Fee that would be applicable only to data recipients of Managed Non-Display Services and that would be half the size of the current Access Fee. In connection with this change, the Exchange also proposes to amend the Fee Schedule to specify that the current Access Fee of $ 2,000/month is charged to data recipients other than those receiving data through Managed Non-Display Services. The proposed Managed Non-Display Access fee would be in addition to the current Managed Non-Display Services Fee of $ 1,800/month by each data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In order to harmonize its approach to fees for its market data products, the Exchange is proposing to establish access fees for Managed Non-Display Services for NYSE Arca BBO, NYSE Arca Trades, and NYSE Arca Integrated Feed that are also half of the existing access fee for each respective data feed.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Arca 2014 Filings,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Redistributor Internal Support User Fee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currently charges a Professional User Fee of $ 40/month. This user fee generally applies to each display device that has access to NYSE ArcaBook. The Exchange proposes to establish a Redistributor Support Fee Cap of $ 2,000/month, the equivalent of fees payable for 50 Professional Users per month, effective as of March 1, 2015, and to add the Redistributor Support Fee Cap to the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cap on user fees would apply to a Redistributor's internal users who receive the NYSE ArcaBook data feed and provide support to the Redistributor for the NYSE ArcaBook data feed in the areas of customer service, data quality, development, software product management, product development, programming, technical operations, technical support, and sales. These internal users would be required to be located on the Redistributor's premises or to access NYSE ArcaBook only on the Redistributor's platform. Internal users using NYSE ArcaBook in connection with trading, investment advice, newsroom activities, research, algorithmic programming for trading systems, free trials/sales promotions, personal use, or to perform any other functions not related to the provision of support functions to the Redistributor's external customers would not be included in the Redistributor Support Fee Cap.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Global Data Policies, Oct. 10, 2014, </w:t>
      </w:r>
      <w:hyperlink r:id="rId17" w:history="1">
        <w:r>
          <w:rPr>
            <w:rFonts w:ascii="arial" w:eastAsia="arial" w:hAnsi="arial" w:cs="arial"/>
            <w:b w:val="0"/>
            <w:i/>
            <w:strike w:val="0"/>
            <w:noProof w:val="0"/>
            <w:color w:val="0077CC"/>
            <w:position w:val="0"/>
            <w:sz w:val="20"/>
            <w:u w:val="single"/>
            <w:vertAlign w:val="baseline"/>
          </w:rPr>
          <w:t>http://www.nasdaqtrader.com/content/AdministrationSupport/AgreementsData/datapolicies.pdf</w:t>
        </w:r>
      </w:hyperlink>
      <w:r>
        <w:rPr>
          <w:rFonts w:ascii="arial" w:eastAsia="arial" w:hAnsi="arial" w:cs="arial"/>
          <w:b w:val="0"/>
          <w:i w:val="0"/>
          <w:strike w:val="0"/>
          <w:noProof w:val="0"/>
          <w:color w:val="000000"/>
          <w:position w:val="0"/>
          <w:sz w:val="20"/>
          <w:u w:val="none"/>
          <w:vertAlign w:val="baseline"/>
        </w:rPr>
        <w:t xml:space="preserve"> (last visited Dec. 15, 2014), "Non-Billable: Internal Administrative Usage Policy," which establishes similar standards for internal administrative usage on a non-billable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Redistributors would have to request that their Professional User Fees related to such internal support functions be counted towards the Redistributor </w:t>
      </w:r>
      <w:r>
        <w:rPr>
          <w:rFonts w:ascii="arial" w:eastAsia="arial" w:hAnsi="arial" w:cs="arial"/>
          <w:b/>
          <w:i w:val="0"/>
          <w:strike w:val="0"/>
          <w:noProof w:val="0"/>
          <w:color w:val="000000"/>
          <w:position w:val="0"/>
          <w:sz w:val="20"/>
          <w:u w:val="none"/>
          <w:vertAlign w:val="baseline"/>
        </w:rPr>
        <w:t> [*1683] </w:t>
      </w:r>
      <w:r>
        <w:rPr>
          <w:rFonts w:ascii="arial" w:eastAsia="arial" w:hAnsi="arial" w:cs="arial"/>
          <w:b w:val="0"/>
          <w:i w:val="0"/>
          <w:strike w:val="0"/>
          <w:noProof w:val="0"/>
          <w:color w:val="000000"/>
          <w:position w:val="0"/>
          <w:sz w:val="20"/>
          <w:u w:val="none"/>
          <w:vertAlign w:val="baseline"/>
        </w:rPr>
        <w:t xml:space="preserve"> Support Fee Cap. To be eligible for the fee cap, a Redistributor would have to provide the Exchange with a list of all employees who would be reported as eligible internal users, and to include in the list the job functions of the employees and explanations of their uses of NYSE ArcaBook. The Exchange reserves the right under its contracts with Redistributors to monitor use closely and be provided with updated lists of employees, their job functions and their use of NYSE ArcaBook, upon request. If an employee's use of NYSE ArcaBook does not meet the requirements of internal support function described above, it would not be eligible for the Redistributor Support Fee Cap and would be charged a separate Professional User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Redistributor Support Fee Cap would be operative March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n11 in general, and Sections 6(b)(4) and 6(b)(5) of the Act, n12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8"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8"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revising the eligibility requirements for Managed Non-Display Services so that the requirements are more closely aligned with the nature of the services being provided is reasonable. The proposed additional requirements for hosting in the Redistributor's data center and for reformatting and/or altering the market data prior to retransmission are also consistent with similar requirements of other markets for the provision of managed data.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Access Fee for Managed Non-Display Services is reasonable, because the data is of value to recipients, and it is reasonable to charge them a lower access fee because they are receiving the data through a Redistributor in a controlled form rather than from the Exchange in raw form. The Exchange believes that the proposed fee directly and appropriately reflects the significant value of using non-display data in a wide range of computer-automated functions relating to both trading and non-trading activities and that the number and range of these functions continue to grow through innovation and technology developments. NASDAQ and Phlx also both offer managed non-display data solutions and charge access fees for such services. n14 The fee is also equitable and not unfairly discriminatory because it would apply to all data recipients that choose to subscribe to Managed Non-Display Services for NYSE ArcaBook.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 NASDAQ offers a Managed Data Solution that assesses a monthly Managed Data Solution Administration fee of $ 1,500 and monthly Subscriber fees of $ 60 for non-professionals to $ 300 for professionals.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7026(b). Phlx charges a monthly Managed Data Solution Administration fee of $ 2,000 and a monthly Subscriber fee of $ 500. The monthly License fee is in addition to the monthly Distributor fee of $ 3,500 (for external usage), and the $ 500 monthly Subscriber fee is assessed for each Subscriber of a Managed Data Solution.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70748 (October 23, 2013), </w:t>
      </w:r>
      <w:hyperlink r:id="rId15" w:history="1">
        <w:r>
          <w:rPr>
            <w:rFonts w:ascii="arial" w:eastAsia="arial" w:hAnsi="arial" w:cs="arial"/>
            <w:b w:val="0"/>
            <w:i/>
            <w:strike w:val="0"/>
            <w:noProof w:val="0"/>
            <w:color w:val="0077CC"/>
            <w:position w:val="0"/>
            <w:sz w:val="20"/>
            <w:u w:val="single"/>
            <w:vertAlign w:val="baseline"/>
          </w:rPr>
          <w:t>78 FR 64569</w:t>
        </w:r>
      </w:hyperlink>
      <w:r>
        <w:rPr>
          <w:rFonts w:ascii="arial" w:eastAsia="arial" w:hAnsi="arial" w:cs="arial"/>
          <w:b w:val="0"/>
          <w:i w:val="0"/>
          <w:strike w:val="0"/>
          <w:noProof w:val="0"/>
          <w:color w:val="000000"/>
          <w:position w:val="0"/>
          <w:sz w:val="20"/>
          <w:u w:val="none"/>
          <w:vertAlign w:val="baseline"/>
        </w:rPr>
        <w:t xml:space="preserve"> (October 29, 2013) (SR-Phlx-2013-105).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it is reasonable to establish the Redistributor Support Fee Cap. The purpose of the Professional User Fee is to charge for each use of NYSE ArcaBook data feed. The Exchange believes it is appropriate to charge user fees for employees who provide internal support functions at Redistributors because the business model of Redistributors is distributing data, and as a related function, providing support functions for such distribution of data. Accordingly, the internal support functions at a Redistributor contribute to the value that such Redistributor provides to its own customers, and are therefore an integral part of a Redistributor's business model. While such internal use is a value to a Redistributor and its customers, the Exchange recognizes that internal support functions differ from other uses of NYSE ArcaBook, which is why the Exchange provides for a Redistributor Support Fee Cap. The Exchange believes it is reasonable to establish a fee cap to reflect the value that such support functions serve within a Redistributor. While the NYSE anticipates that only the largest vendors would devote sufficient personnel to administrative functions to take advantage of the proposed increased fee cap, in the Exchange's view, limiting the fee exposure of its largest vendors does not unreasonably discriminate against other vendors under Section 603(a)(2)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are also equitable and not unfairly discriminatory because they will apply to all data recipients that choose to subscribe to the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ArcaBook is entirely optional. The Exchange is not required to make NYSE ArcaBook available or to offer any specific pricing alternatives to any customers, nor is any firm required to purchase NYSE ArcaBook. Firms that do purchase NYSE ArcaBook do so for the primary goals of using it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ArcaBook or any other similar products are attractively priced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Firms that do not wish to purchase NYSE ArcaBook at the new prices have a variety of alternative market data products from which to choose, n15 or if NYSE ArcaBook does not provide sufficient value to firms as offered based on the uses those firms have or planned to make of it, such firms may simply choose to conduct their business operations in ways that do not use NYSE ArcaBook. The Exchange notes that broker-dealers are not required to purchase proprietary market data to comply with their best execution obligations. n16 Similarly, there is no requirement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or any other rule that proprietary data be utilized for order routing decisions, and some broker-dealers and ATSs have chosen not to do so.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 (Nasdaq Totalview) and BATS Rule 11.22(a) and (c) (BATS TCP Pitch and Multicast Pitch).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the Matter of the Application of Securities Industry And Financial Markets Association For Review of Actions Taken by Self-Regulatory Organizations, Release Nos. 34-72182; AP-3-15350; AP-3-15351 (May 16,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For example, Goldman Sachs Execution and Clearing, L.P. has disclosed that it does not use proprietary market data in connection with Sigma X, its ATS.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response to Question E3, available at </w:t>
      </w:r>
      <w:hyperlink r:id="rId19" w:history="1">
        <w:r>
          <w:rPr>
            <w:rFonts w:ascii="arial" w:eastAsia="arial" w:hAnsi="arial" w:cs="arial"/>
            <w:b w:val="0"/>
            <w:i/>
            <w:strike w:val="0"/>
            <w:noProof w:val="0"/>
            <w:color w:val="0077CC"/>
            <w:position w:val="0"/>
            <w:sz w:val="20"/>
            <w:u w:val="single"/>
            <w:vertAlign w:val="baseline"/>
          </w:rPr>
          <w:t>http://www.goldmansachs.com/media-relations/in-the-news/current/pdf-media/gsec-order-handling-practices-ats-specific.pdf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way of comparison, IEX has disclosed that it uses proprietary market data feeds from all registered stock exchanges and the LavaFlow ECN. </w:t>
      </w:r>
      <w:r>
        <w:rPr>
          <w:rFonts w:ascii="arial" w:eastAsia="arial" w:hAnsi="arial" w:cs="arial"/>
          <w:b w:val="0"/>
          <w:i/>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http://www.iextrading.com/about/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21"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21"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w:t>
      </w:r>
      <w:r>
        <w:rPr>
          <w:rFonts w:ascii="arial" w:eastAsia="arial" w:hAnsi="arial" w:cs="arial"/>
          <w:b/>
          <w:i w:val="0"/>
          <w:strike w:val="0"/>
          <w:noProof w:val="0"/>
          <w:color w:val="000000"/>
          <w:position w:val="0"/>
          <w:sz w:val="20"/>
          <w:u w:val="none"/>
          <w:vertAlign w:val="baseline"/>
        </w:rPr>
        <w:t> [*1684] </w:t>
      </w:r>
      <w:r>
        <w:rPr>
          <w:rFonts w:ascii="arial" w:eastAsia="arial" w:hAnsi="arial" w:cs="arial"/>
          <w:b w:val="0"/>
          <w:i w:val="0"/>
          <w:strike w:val="0"/>
          <w:noProof w:val="0"/>
          <w:color w:val="000000"/>
          <w:position w:val="0"/>
          <w:sz w:val="20"/>
          <w:u w:val="none"/>
          <w:vertAlign w:val="baseline"/>
        </w:rPr>
        <w:t xml:space="preserve">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21"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non-core market data would be so complicated that it could not be done practically or offer any significant benefits.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2"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Complaint in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Deutsche Borse AG</w:t>
      </w:r>
      <w:r>
        <w:rPr>
          <w:rFonts w:ascii="arial" w:eastAsia="arial" w:hAnsi="arial" w:cs="arial"/>
          <w:b w:val="0"/>
          <w:i w:val="0"/>
          <w:strike w:val="0"/>
          <w:noProof w:val="0"/>
          <w:color w:val="000000"/>
          <w:position w:val="0"/>
          <w:sz w:val="20"/>
          <w:u w:val="none"/>
          <w:vertAlign w:val="baseline"/>
        </w:rPr>
        <w:t xml:space="preserve">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n21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Concept Release on Equity Market Structure, Securities Exchange Act Release No. 61358 (Jan. 14, 2010), </w:t>
      </w:r>
      <w:hyperlink r:id="rId24"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4"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5"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its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using them in support of order routing and trading decisions in light of the diminished content;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correspondingly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w:t>
      </w:r>
      <w:r>
        <w:rPr>
          <w:rFonts w:ascii="arial" w:eastAsia="arial" w:hAnsi="arial" w:cs="arial"/>
          <w:b/>
          <w:i w:val="0"/>
          <w:strike w:val="0"/>
          <w:noProof w:val="0"/>
          <w:color w:val="000000"/>
          <w:position w:val="0"/>
          <w:sz w:val="20"/>
          <w:u w:val="none"/>
          <w:vertAlign w:val="baseline"/>
        </w:rPr>
        <w:t> [*1685] </w:t>
      </w:r>
      <w:r>
        <w:rPr>
          <w:rFonts w:ascii="arial" w:eastAsia="arial" w:hAnsi="arial" w:cs="arial"/>
          <w:b w:val="0"/>
          <w:i w:val="0"/>
          <w:strike w:val="0"/>
          <w:noProof w:val="0"/>
          <w:color w:val="000000"/>
          <w:position w:val="0"/>
          <w:sz w:val="20"/>
          <w:u w:val="none"/>
          <w:vertAlign w:val="baseline"/>
        </w:rPr>
        <w:t xml:space="preserve"> surcharge on data they sell are able to refuse to offer proprietary products that their end users do not or will not purchase in sufficient numbers. Vendors will not elect to make available NYSE ArcaBook unless their customers request it, and customers will not elect to pay the proposed fees unless NYSE ArcaBook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November 2014 more than 80% of the transaction volume on each of NYSE Arca Equities and the Exchange's affiliates New York Stock Exchange LLC ("NYSE") and NYSE MKT LLC ("NYSE MKT"), was executed by market participants that purchased one or more proprietary market data products (the 20 firms were not the same for each market). A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n23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6"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7"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28"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12 equities self-regulatory organization ("SRO") markets, as well as various forms of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FINRA's Alternative Display Facility also receives over-the-counter trade reports that it sends to CTA.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and Direct Edge, which previously operated as ATSs and obtained exchange status in 2008 and 2010, respectively, have provided certain market data at no charge on their Web sites in order to attract more order flow, and use revenue rebates from resulting additional executions to maintain low execution charges for their users. n26 Similarly, LavaFlow ECN </w:t>
      </w:r>
      <w:r>
        <w:rPr>
          <w:rFonts w:ascii="arial" w:eastAsia="arial" w:hAnsi="arial" w:cs="arial"/>
          <w:b/>
          <w:i w:val="0"/>
          <w:strike w:val="0"/>
          <w:noProof w:val="0"/>
          <w:color w:val="000000"/>
          <w:position w:val="0"/>
          <w:sz w:val="20"/>
          <w:u w:val="none"/>
          <w:vertAlign w:val="baseline"/>
        </w:rPr>
        <w:t> [*1686] </w:t>
      </w:r>
      <w:r>
        <w:rPr>
          <w:rFonts w:ascii="arial" w:eastAsia="arial" w:hAnsi="arial" w:cs="arial"/>
          <w:b w:val="0"/>
          <w:i w:val="0"/>
          <w:strike w:val="0"/>
          <w:noProof w:val="0"/>
          <w:color w:val="000000"/>
          <w:position w:val="0"/>
          <w:sz w:val="20"/>
          <w:u w:val="none"/>
          <w:vertAlign w:val="baseline"/>
        </w:rPr>
        <w:t xml:space="preserve"> provides market data to its subscribers at no charge. n27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"LavaFlow--ADF Migration," available at </w:t>
      </w:r>
      <w:hyperlink r:id="rId29" w:history="1">
        <w:r>
          <w:rPr>
            <w:rFonts w:ascii="arial" w:eastAsia="arial" w:hAnsi="arial" w:cs="arial"/>
            <w:b w:val="0"/>
            <w:i/>
            <w:strike w:val="0"/>
            <w:noProof w:val="0"/>
            <w:color w:val="0077CC"/>
            <w:position w:val="0"/>
            <w:sz w:val="20"/>
            <w:u w:val="single"/>
            <w:vertAlign w:val="baseline"/>
          </w:rPr>
          <w:t>https://www.lavatrading.com/news/pdf/LavaFlow_ADF_Migration.pdf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or have announced plans to do so, including but not limited to the Exchange, NYSE, NYSE MKT, NASDAQ OMX,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With respect to NYSE ArcaBook,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 a close substitute product. n28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As noted above, BATS launched as an ATS in 2006 and became an exchange in 2008, while Direct Edge began operations in 2007 and obtained exchange status in 2010. As noted above, LavaFlow ECN provides market data to its subscribers at no charge.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setting the proposed fees,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n30 of the Act and subparagraph (f)(2) of Rule 19b-4 n31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n32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30"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1"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SR-NYSEARCA-2014-149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SR-NYSEARCA-2014-149. This file number should be included on the subject line if email is used. To help the Commission process and review your comments more efficiently, please use only one method. The Commission will post all comments on the Commission's Internet Web site (</w:t>
      </w:r>
      <w:hyperlink r:id="rId30"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 site viewing and printing in the Commission's Public Reference Room, 100 F Street NE., Washington, DC 20549, on official business days between the hours of 10:00 a.m. and 3:00 p.m. Copies of the filing will also be available for inspection and copying at the NYSE's principal office and on its Internet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comments received will be posted without change; the Commission does not edit personal identifying information from submissions. You should submit only information that you wish to make available publicly. All submissions should refer to File Number SR-NYSEARCA-2014-149 and should be submitted on or before February 3, 2015. </w:t>
      </w:r>
      <w:r>
        <w:rPr>
          <w:rFonts w:ascii="arial" w:eastAsia="arial" w:hAnsi="arial" w:cs="arial"/>
          <w:b/>
          <w:i w:val="0"/>
          <w:strike w:val="0"/>
          <w:noProof w:val="0"/>
          <w:color w:val="000000"/>
          <w:position w:val="0"/>
          <w:sz w:val="20"/>
          <w:u w:val="none"/>
          <w:vertAlign w:val="baseline"/>
        </w:rPr>
        <w:t> [*1687]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32"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2015-00295 Filed 1-12-15;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1681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www.nyse.com" TargetMode="External" /><Relationship Id="rId12" Type="http://schemas.openxmlformats.org/officeDocument/2006/relationships/hyperlink" Target="https://advance.lexis.com/api/document?collection=administrative-codes&amp;id=urn:contentItem:585J-J500-006W-84DC-00000-00&amp;context=" TargetMode="External" /><Relationship Id="rId13" Type="http://schemas.openxmlformats.org/officeDocument/2006/relationships/hyperlink" Target="https://advance.lexis.com/api/document?collection=administrative-codes&amp;id=urn:contentItem:5D41-YDV0-006W-83CB-00000-00&amp;context=" TargetMode="External" /><Relationship Id="rId14" Type="http://schemas.openxmlformats.org/officeDocument/2006/relationships/hyperlink" Target="https://advance.lexis.com/api/document?collection=administrative-codes&amp;id=urn:contentItem:51GS-M6N0-006W-84G8-00000-00&amp;context=" TargetMode="External" /><Relationship Id="rId15" Type="http://schemas.openxmlformats.org/officeDocument/2006/relationships/hyperlink" Target="https://advance.lexis.com/api/document?collection=administrative-codes&amp;id=urn:contentItem:59PF-BJS0-006W-8009-00000-00&amp;context=" TargetMode="External" /><Relationship Id="rId16" Type="http://schemas.openxmlformats.org/officeDocument/2006/relationships/hyperlink" Target="https://advance.lexis.com/api/document?collection=administrative-codes&amp;id=urn:contentItem:5825-3C80-006W-82F2-00000-00&amp;context=" TargetMode="External" /><Relationship Id="rId17" Type="http://schemas.openxmlformats.org/officeDocument/2006/relationships/hyperlink" Target="http://www.nasdaqtrader.com/content/AdministrationSupport/AgreementsData/datapolicies.pdf" TargetMode="External" /><Relationship Id="rId18" Type="http://schemas.openxmlformats.org/officeDocument/2006/relationships/hyperlink" Target="https://advance.lexis.com/api/document?collection=statutes-legislation&amp;id=urn:contentItem:4YF7-GPC1-NRF4-4309-00000-00&amp;context=" TargetMode="External" /><Relationship Id="rId19" Type="http://schemas.openxmlformats.org/officeDocument/2006/relationships/hyperlink" Target="http://www.goldmansachs.com/media-relations/in-the-news/current/pdf-media/gsec-order-handling-practices-ats-specific.pdf" TargetMode="External" /><Relationship Id="rId2" Type="http://schemas.openxmlformats.org/officeDocument/2006/relationships/webSettings" Target="webSettings.xml" /><Relationship Id="rId20" Type="http://schemas.openxmlformats.org/officeDocument/2006/relationships/hyperlink" Target="http://www.iextrading.com/about/" TargetMode="External" /><Relationship Id="rId21" Type="http://schemas.openxmlformats.org/officeDocument/2006/relationships/hyperlink" Target="https://advance.lexis.com/api/document?collection=cases&amp;id=urn:contentItem:803V-DT30-YB0V-T01B-00000-00&amp;context=" TargetMode="External" /><Relationship Id="rId22" Type="http://schemas.openxmlformats.org/officeDocument/2006/relationships/hyperlink" Target="http://www.sec.gov/rules/concept/s72899/buck1.htm" TargetMode="External" /><Relationship Id="rId23" Type="http://schemas.openxmlformats.org/officeDocument/2006/relationships/hyperlink" Target="http://www.justice.gov/iso/opa/atr/speeches/2011/at-speech-110516.html" TargetMode="External" /><Relationship Id="rId24" Type="http://schemas.openxmlformats.org/officeDocument/2006/relationships/hyperlink" Target="https://advance.lexis.com/api/document?collection=administrative-codes&amp;id=urn:contentItem:4Y6T-4FW0-006W-80SB-00000-00&amp;context=" TargetMode="External" /><Relationship Id="rId25" Type="http://schemas.openxmlformats.org/officeDocument/2006/relationships/hyperlink" Target="https://www.arcavision.com/Arcavision/arcalogin.jsp" TargetMode="External" /><Relationship Id="rId26" Type="http://schemas.openxmlformats.org/officeDocument/2006/relationships/hyperlink" Target="https://advance.lexis.com/api/document?collection=administrative-codes&amp;id=urn:contentItem:5C6V-V6N0-006W-80W6-00000-00&amp;context=" TargetMode="External" /><Relationship Id="rId27" Type="http://schemas.openxmlformats.org/officeDocument/2006/relationships/hyperlink" Target="https://advance.lexis.com/api/document?collection=administrative-codes&amp;id=urn:contentItem:512C-NGP0-006W-82VF-00000-00&amp;context=" TargetMode="External" /><Relationship Id="rId28" Type="http://schemas.openxmlformats.org/officeDocument/2006/relationships/hyperlink" Target="https://advance.lexis.com/api/document?collection=administrative-codes&amp;id=urn:contentItem:512C-NGP0-006W-82VH-00000-00&amp;context=" TargetMode="External" /><Relationship Id="rId29" Type="http://schemas.openxmlformats.org/officeDocument/2006/relationships/hyperlink" Target="https://www.lavatrading.com/news/pdf/LavaFlow_ADF_Migration.pdf" TargetMode="External" /><Relationship Id="rId3" Type="http://schemas.openxmlformats.org/officeDocument/2006/relationships/fontTable" Target="fontTable.xml" /><Relationship Id="rId30" Type="http://schemas.openxmlformats.org/officeDocument/2006/relationships/hyperlink" Target="http://www.sec.gov/rules/sro.shtml" TargetMode="External" /><Relationship Id="rId31" Type="http://schemas.openxmlformats.org/officeDocument/2006/relationships/hyperlink" Target="mailto:rule-comments@sec.gov" TargetMode="External" /><Relationship Id="rId32" Type="http://schemas.openxmlformats.org/officeDocument/2006/relationships/hyperlink" Target="https://advance.lexis.com/api/document?collection=administrative-codes&amp;id=urn:contentItem:5SPP-2120-008G-Y2ND-00000-00&amp;context=" TargetMode="External" /><Relationship Id="rId33" Type="http://schemas.openxmlformats.org/officeDocument/2006/relationships/numbering" Target="numbering.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2G-3HY0-006W-84WS-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3484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71343232</vt:lpwstr>
  </property>
  <property fmtid="{D5CDD505-2E9C-101B-9397-08002B2CF9AE}" pid="3" name="LADocCount">
    <vt:lpwstr>1</vt:lpwstr>
  </property>
  <property fmtid="{D5CDD505-2E9C-101B-9397-08002B2CF9AE}" pid="4" name="UserPermID">
    <vt:lpwstr>urn:user:PA185916758</vt:lpwstr>
  </property>
</Properties>
</file>