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18831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067, Wednesday, April 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18831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April 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Educational Technology, Media, and Materials for Individuals With Disabilities--Research and Development Center To Advance the Use of New and Emerging Technologies to Ensure Accessibility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a new award for fiscal year (FY)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 84.327B.</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the Educational Technology, Media, and Materials for Individuals with Disabilities Program n1 are to improve results for students with disabilities by: (1) Promoting the development, demonstration, and use of technology; (2) supporting educational activities designed to be of educational value in the classroom for students with disabilities; (3) providing support for captioning and video description that is appropriate for use in the classroom; and (4) providing accessible educational materials to students with disabilities in a timely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This program was formerly called "Technology and Media Services for Individuals with Disabilities." The Department has changed the name to Educational Technology, Media, and Materials for Individuals with Disabilities Program and updated the purposes of the program to more clearly convey that the program includes accessible educational materials. The program's activities and statutory authorization (</w:t>
      </w:r>
      <w:hyperlink r:id="rId8" w:history="1">
        <w:r>
          <w:rPr>
            <w:rFonts w:ascii="arial" w:eastAsia="arial" w:hAnsi="arial" w:cs="arial"/>
            <w:b w:val="0"/>
            <w:i/>
            <w:strike w:val="0"/>
            <w:noProof w:val="0"/>
            <w:color w:val="0077CC"/>
            <w:position w:val="0"/>
            <w:sz w:val="20"/>
            <w:u w:val="single"/>
            <w:vertAlign w:val="baseline"/>
          </w:rPr>
          <w:t>20 U.S.C. 1474</w:t>
        </w:r>
      </w:hyperlink>
      <w:r>
        <w:rPr>
          <w:rFonts w:ascii="arial" w:eastAsia="arial" w:hAnsi="arial" w:cs="arial"/>
          <w:b w:val="0"/>
          <w:i w:val="0"/>
          <w:strike w:val="0"/>
          <w:noProof w:val="0"/>
          <w:color w:val="000000"/>
          <w:position w:val="0"/>
          <w:sz w:val="20"/>
          <w:u w:val="none"/>
          <w:vertAlign w:val="baseline"/>
        </w:rPr>
        <w:t>) remain unchanged.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9"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this priority is from allowable activities specified in the statute (see sections 674(b) and 681(d) of the Individuals with Disabilities Education Act (IDEA) (</w:t>
      </w:r>
      <w:hyperlink r:id="rId8" w:history="1">
        <w:r>
          <w:rPr>
            <w:rFonts w:ascii="arial" w:eastAsia="arial" w:hAnsi="arial" w:cs="arial"/>
            <w:b w:val="0"/>
            <w:i/>
            <w:strike w:val="0"/>
            <w:noProof w:val="0"/>
            <w:color w:val="0077CC"/>
            <w:position w:val="0"/>
            <w:sz w:val="20"/>
            <w:u w:val="single"/>
            <w:vertAlign w:val="baseline"/>
          </w:rPr>
          <w:t>20 U.S.C. 1474(b)</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9"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Research and Development Center To Advance the Use of New and Emerging Technologies To Ensure Accessibility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612(a)(23) of IDEA requires States to provide educational materials in accessible formats in a timely manner to students who are blind or have print disabilities. Section 613(a)(6) of IDEA includes a similar requirement for local educational agencies (LEAs). In the process of implementing these provisions in IDEA, States, LEAs, and accessible media producers (AMPs), whom States and LEAs employ to convert educational materials into accessible formats, have encountered barriers to the production of high-quality accessible educational materials (AEM). n2 Specifically, they have been challenged by limitations of the technology available to produce AEM that includes accessible graphic content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complex formulae, images, charts, tables, graphs, and mathematical notation, hereafter referred to as graphic content). These barriers are more evident in the conversion of science, technology, engineering, and mathematics (STEM) educational materials into accessible formats due to their extensive use of graphic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AEM (also known as accessible instructional materials) and technologies enable children with disabilities to have access to, be involved in, and make progress in the general education curriculum (or for infants, toddlers, and preschool children and their families to participate in developmental and educational activities, such as those related to early literacy and numeracy)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Office of Special Education Programs (OSEP) awarded a cooperative agreement, the Research and Development Center on Digital Images and Graphic Content in Accessible Instructional Materials, to implement a rigorous program of research and development to improve the cost, quality, usability, and availability of graphic content in accessible instructional materials and the devices and software used to access that content for blind, visually impaired, and print disabled students. While the center has improved the way graphic content is produced and accessed by children with print disabilities, ensuring accessibility to complex educational materials, such as STEM educational materials with graphic content, continues to challenge publishers, AMPs, and others who develop and produce STEM educational materials. The need for research and development continues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technology, publishing, and disability communities are working together to develop standards and guidelines for producing and accessing digital materials and assessments in accessible formats, the adoption of these standards remains voluntary, thus implementation and use of the standards are inconsistent. Additionally, some standards and guidelines may not include markup language, n3 or may include it as optional, resulting in standards and guidelines that are insufficient to ensure the accessibility of educational materials for some children with disabilities. n4 A free appropriate public education cannot be provided to many children with disabilities unless the educational technologies and materials are accessible, consistent with standards and guidelines that are uniformly applied across technologies, devices, tools, products, and software.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"Markup language," in the context of digital technology, means a set of standards, as HTML or SGML, used to create an appropriate markup scheme for an electronic document, as to indicate its structure or format. See </w:t>
      </w:r>
      <w:hyperlink r:id="rId11" w:history="1">
        <w:r>
          <w:rPr>
            <w:rFonts w:ascii="arial" w:eastAsia="arial" w:hAnsi="arial" w:cs="arial"/>
            <w:b w:val="0"/>
            <w:i/>
            <w:strike w:val="0"/>
            <w:noProof w:val="0"/>
            <w:color w:val="0077CC"/>
            <w:position w:val="0"/>
            <w:sz w:val="20"/>
            <w:u w:val="single"/>
            <w:vertAlign w:val="baseline"/>
          </w:rPr>
          <w:t>http://dictionary.reference.com/browse/markup</w:t>
        </w:r>
      </w:hyperlink>
      <w:r>
        <w:rPr>
          <w:rFonts w:ascii="arial" w:eastAsia="arial" w:hAnsi="arial" w:cs="arial"/>
          <w:b w:val="0"/>
          <w:i w:val="0"/>
          <w:strike w:val="0"/>
          <w:noProof w:val="0"/>
          <w:color w:val="000000"/>
          <w:position w:val="0"/>
          <w:sz w:val="20"/>
          <w:u w:val="none"/>
          <w:vertAlign w:val="baseline"/>
        </w:rPr>
        <w:t xml:space="preserve">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For more information, see </w:t>
      </w:r>
      <w:hyperlink r:id="rId12" w:history="1">
        <w:r>
          <w:rPr>
            <w:rFonts w:ascii="arial" w:eastAsia="arial" w:hAnsi="arial" w:cs="arial"/>
            <w:b w:val="0"/>
            <w:i/>
            <w:strike w:val="0"/>
            <w:noProof w:val="0"/>
            <w:color w:val="0077CC"/>
            <w:position w:val="0"/>
            <w:sz w:val="20"/>
            <w:u w:val="single"/>
            <w:vertAlign w:val="baseline"/>
          </w:rPr>
          <w:t>http://idpf.org/news/aap-epub-3-implementation-white-paper-now-available</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www.imsglobal.org/edupub/EPUB3QTILTICaliper_BestPracticesvd7.pdf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unexplored technologies, and the promise of more powerful technologies in the future, provide potential opportunities to improve access to digital content and educational </w:t>
      </w:r>
      <w:r>
        <w:rPr>
          <w:rFonts w:ascii="arial" w:eastAsia="arial" w:hAnsi="arial" w:cs="arial"/>
          <w:b/>
          <w:i w:val="0"/>
          <w:strike w:val="0"/>
          <w:noProof w:val="0"/>
          <w:color w:val="000000"/>
          <w:position w:val="0"/>
          <w:sz w:val="20"/>
          <w:u w:val="none"/>
          <w:vertAlign w:val="baseline"/>
        </w:rPr>
        <w:t> [*18832] </w:t>
      </w:r>
      <w:r>
        <w:rPr>
          <w:rFonts w:ascii="arial" w:eastAsia="arial" w:hAnsi="arial" w:cs="arial"/>
          <w:b w:val="0"/>
          <w:i w:val="0"/>
          <w:strike w:val="0"/>
          <w:noProof w:val="0"/>
          <w:color w:val="000000"/>
          <w:position w:val="0"/>
          <w:sz w:val="20"/>
          <w:u w:val="none"/>
          <w:vertAlign w:val="baseline"/>
        </w:rPr>
        <w:t xml:space="preserve"> materials. Since 2004, administrators, teachers, preschool special education teachers, early interventionists, and parents are more aware of the use of AEM by students with print disabilities, and of anecdotal reports and preliminary data from research projects that suggest use of AEM is associated with improvements in academic performance and progress for some children with print disabilities (Abedi &amp; Ewers, 2013; Stahl, 2004). Moreover, the Division for Early Childhood Recommended Practices (April, 2014) stresses the importance of ensuring that educational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books, toys, multimedia content, etc.) are accessible to infants, toddlers, and preschoolers with disabilities and that the use of these materials is supported across learning environments. These reports and case studies have triggered interest in the use of AEM by children with non-print disabilities and by infants, toddlers, and preschoolers with visual impairments and other print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public comment retrieved from </w:t>
      </w:r>
      <w:hyperlink r:id="rId14" w:history="1">
        <w:r>
          <w:rPr>
            <w:rFonts w:ascii="arial" w:eastAsia="arial" w:hAnsi="arial" w:cs="arial"/>
            <w:b w:val="0"/>
            <w:i/>
            <w:strike w:val="0"/>
            <w:noProof w:val="0"/>
            <w:color w:val="0077CC"/>
            <w:position w:val="0"/>
            <w:sz w:val="20"/>
            <w:u w:val="single"/>
            <w:vertAlign w:val="baseline"/>
          </w:rPr>
          <w:t>www.tea.state.tx.us/index4.aspx?id=25769810909</w:t>
        </w:r>
      </w:hyperlink>
      <w:r>
        <w:rPr>
          <w:rFonts w:ascii="arial" w:eastAsia="arial" w:hAnsi="arial" w:cs="arial"/>
          <w:b w:val="0"/>
          <w:i w:val="0"/>
          <w:strike w:val="0"/>
          <w:noProof w:val="0"/>
          <w:color w:val="000000"/>
          <w:position w:val="0"/>
          <w:sz w:val="20"/>
          <w:u w:val="none"/>
          <w:vertAlign w:val="baseline"/>
        </w:rPr>
        <w:t>). If children with disabilities other than print disabilities, and infants, toddlers, and preschoolers with disabilities are to use AEM, researchers must explore and identify the developmental and educational needs of these children as they relate to the use of AEM. The information gained from this work can be applied to the development of new products, production standards, and sources where AEM can be acquired for this expanded population of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issues and challenges related to the development, production, and dissemination of AEM and to ensure that infants, toddlers, and children n5 who are blind or have print disabilities and those with disabilities not traditionally associated with print disabilities have full access to educational content, including graphic content, in accessible formats, OSEP proposes to fund a Research and Development Center to Advance the Use of New and Emerging Technologies to Ensure Accessibility.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term "children" in this priority includes individuals with disabilities ages birth-21.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priority is to fund a cooperative agreement to support the establishment and operation of a Research and Development Center to Advance the Use of New and Emerging Technologies to Ensure Accessibility (Center). Under this priority, the Center must conduct a comprehensive review of industry accessibility standards and their applications. Based on this review, the Center must implement a program of research and development designed to achieve, at a minimum, the following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Development, demonstration, and use of technologies, devices, tools, products, and software that ensure full access to educational materials and content, including graphic content, regardless of the original formats of the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print, digital, multimedia) for children who are blind or have print disabilities and those with disabilities not traditionally associated with print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Increase the number of new digital and multimedia educational materials that are "born accessible"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accessibility features are included in the original design and production of the materials) and are readily available and accessible to children who are blind or have print disabilities and those with disabilities not traditionally associated with print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Identification of potential uses of new technologies, devices, tools, products, and software to enhance the accessibility of educational materials, especially STEM educational materials, for children who are blind or have print disabilities and those with disabilities not traditionally associated with print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Identification of accessibility features specific to the needs of children with disabilities not traditionally associated with print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autism, hearing impairments, intellectual disabilities, English learners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Increased knowledge sharing among technology developers, publishers, and end users including educators, persons with disabilities, and parents of children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programmatic requirements, to be considered for funding under this priority, applicants must meet the application and administrative requirements in this priority. OSEP encourages innovative approaches to meeting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 achieve and maintain expert awareness of the current and developing standards and uses of technologies that support or increase accessibility of educational materials for children with disabilities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Establishing and maintaining a technical format review advisory committee. The technical format review advisory committee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Consist of no fewer than five membersrepresenting the full range of diverse stakeholders, including at least one member from each of the following five specific groups: Technology developers, publishers, and end users including educators, persons with disabilities, and parents of children with disabilities. Advisory committee members should be identified no later than six weeks from the award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Meet no less frequently than twice per year during the project period with the project director and relevant project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Evaluate current technologies, standards, and guidelines that are used and applied in the production and use of educational materials to ensure that the content is accessible to children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Evaluate current devices and software that support and ensure access to educational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Leveraging its network of professional relationships to increase the awareness and application of accessibility standards among educators, publishers, and technology developers.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Demonstrate the extent of its network of educators, publishers, and technology developers;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Describe its proposed methods to increase the awareness and application of accessibility standards by educators, publishers, and technology developers;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Describe its plan for expanding its network to include additional stakeholders in order to maintain relevant expertise in emerging technologies, standards, and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Disseminate information on the uses, and potential uses, of emergent technologies, devices, tools, products, and software and accessibility standards and features of AEM for children who are blind or have print disabilities and those with disabilities not traditionally associated with print disabilities. To meet this requirement, the applicant must describe its plan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Prepare and disseminate reports, documents, and other materials available in appropriate formats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Current industry standards and best practices in the production and dissemination of AEM;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Current technologies used to produce AEM;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Currently available devices and software used to access AEM; </w:t>
      </w:r>
      <w:r>
        <w:rPr>
          <w:rFonts w:ascii="arial" w:eastAsia="arial" w:hAnsi="arial" w:cs="arial"/>
          <w:b/>
          <w:i w:val="0"/>
          <w:strike w:val="0"/>
          <w:noProof w:val="0"/>
          <w:color w:val="000000"/>
          <w:position w:val="0"/>
          <w:sz w:val="20"/>
          <w:u w:val="none"/>
          <w:vertAlign w:val="baseline"/>
        </w:rPr>
        <w:t> [*18833]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Any devices or software developed or modified by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Processes related to the development or modification of technologies, standards, and guidelines used in the production of AEM, and devices and software used to access AEM;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Related topics, as requested by OSEP;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Communicate using a variety of media and methods (for example, presentations, publications, conference attendance, demonstrations) to reach the broad range of technology developers, publishers, and end users, including educators, children with disabilities, and parents of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Project Services,"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Explore the legal issues around the provision of AEM for children with disabilities not traditionally associated with print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Collaborate with publishers and distributors of educational materials to develop and field test models for making AEM available for use by children with disabilities traditionally not associated with print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Determine potential uses of new technologies to enhance the accessibility of educational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Collaborate with publishers, AMPs, State educational agencies, LEAs, consumers, and technology developers, vendors, and others with expertise in AEM production, devices, and software,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Develop technologies that improve access to and readability of educational materials containing graphic content, including STEM educational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Develop tools and products to improve the quality and usability of AEM and increase the efficiency of producing AEM, including the production of digital braille files written in Unified English Braille;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Identify accessibility features specific to the needs of children with disabilities not traditionally associated with print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Develop new tools or products and modify existing tools and products that address the specialized needs of children with disabilities not traditionally associated with print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in the narrative section of the application under "Adequacy of Project Resources,"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key personnel, consultants, and contractors with sufficient qualifications, experience, and commitment to carry out the proposed activities and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Encourage applications for employment from persons who are members of groups that have traditionally been underrepresented based on race, color, national origin, linguistic diversity, sex, gender identity, sexual orientation, age, or disability,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Allocate project resources to carry out proposed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Ensure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section of the application under "Quality of Management Plan,"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Pursue a diversity of perspectives, including families, early intervention service providers, educators, publishers, designers, developers, vendors, researchers, parent training and information centers, policy makers, the business community, SEAs and lead agencies, and other OSEP-funded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Communicate effectively between the project and stakeholders and between the project and OSEP including OSEP-funded projects. To address this requirement, the applicant must commit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Maintain a Web site that meets government or industry-recognized standards for accessibility;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Communicate and collaborate on an ongoing basis with OSEP-funded projects, specifically the Center for Parent Information and Resources, National Instructional Materials Access Center, National Center on Accessible Educational Materials for Learning, and Bookshare and Innovation for Education. The collaborations could include the joint development of products, participation in field-testing, and regular communications and updates on Center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Prior to developing any new product, whether paper, digital, or oral, discuss the content and purpose of the product or event with the OSEP project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Maintain ongoing communication with the OSEP project officer through biweekly phone conversations and email communication;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Submit a quarterly progress report to the OSEP project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 the narrative section of the application under "Quality of the Evaluation Plan," include an evaluation plan. The evaluation plan must describe measures of progress in implementation, including the extent to which the project's products and services have reached the target population, and measures of intended outcomes or results of the project's activities in order to assess the effectiveness of those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evaluation plan, the applicant must commit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Ensure ongoing feedback on the quality of project performance from technology developers, AEM publishers, and end users including educators, persons with disabilities, and parents of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Assess the cost, quality, usability, and availability of the technologies, including devices and software products, that are developed or modified by the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Designate, with the approval of the OSEP project officer, a project liaison staff person with sufficient dedicated time, experience in evaluation, and knowledge of the project to work in collaboration with the Center to Improve Project Performance (CIPP), n6 the project director, and the OSEP project officer on the following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major tasks of CIPP are to guide, coordinate, and oversee the design of formative evaluations for every large discretionary investment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awarded $ 500,000 or more per year and required to participate in the 3+2 process) in OSEP's Technical Assistance and Dissemination; Personnel Development; Parent Training and Information Centers; and Educational Technology, Media, and Materials programs. The efforts of CIPP are expected to enhance individual project evaluation plans by providing expert and unbiased technical assistance in designing the evaluations with due consideration of the project's budget. CIPP does not function as a third-party evaluator.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Revise, as needed, the logic model submitted in the grant application to reflect any changes or clarifications to the model discussed at the kick-off meeting and to provide for a more comprehensive measurement of implementation and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Refine, as needed, the evaluation design and instrumentation proposed in the grant application consistent with the logic model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preparing evaluation questions about significant program processes and outcomes, developing quantitative or qualitative data collections that permit both the collection of progress data, including fidelity of implementation, as appropriate, and the assessment of </w:t>
      </w:r>
      <w:r>
        <w:rPr>
          <w:rFonts w:ascii="arial" w:eastAsia="arial" w:hAnsi="arial" w:cs="arial"/>
          <w:b/>
          <w:i w:val="0"/>
          <w:strike w:val="0"/>
          <w:noProof w:val="0"/>
          <w:color w:val="000000"/>
          <w:position w:val="0"/>
          <w:sz w:val="20"/>
          <w:u w:val="none"/>
          <w:vertAlign w:val="baseline"/>
        </w:rPr>
        <w:t> [*18834] </w:t>
      </w:r>
      <w:r>
        <w:rPr>
          <w:rFonts w:ascii="arial" w:eastAsia="arial" w:hAnsi="arial" w:cs="arial"/>
          <w:b w:val="0"/>
          <w:i w:val="0"/>
          <w:strike w:val="0"/>
          <w:noProof w:val="0"/>
          <w:color w:val="000000"/>
          <w:position w:val="0"/>
          <w:sz w:val="20"/>
          <w:u w:val="none"/>
          <w:vertAlign w:val="baseline"/>
        </w:rPr>
        <w:t xml:space="preserve"> effectiveness, selecting respondent samples if appropriate, designing instruments or identifying data sources, and identifying analytic strategies);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Revise, as needed, the evaluation plan submitted in the grant application such that it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Specifies the measures and associated instruments or sources for data appropriate to the evaluation questions, suggests analytic strategies for those data, provides a timeline for conducting the evaluation, and includes staff assignments for completion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Delineates the data expected to be available by the end of the second project year for use during the project's intensive review for continued funding described under the heading Fourth and Fifth Years of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Can be used to assist the project director and the OSEP project officer, with the assistance of CIPP as needed, to specify the performance measures to be addressed in the project's Annual Performance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Cooperate with CIPP staff in order to accomplish the tasks described in paragraph (e)(3) of these 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Dedicate sufficient funds in each budget year to cover the costs of carrying out the tasks described in paragraphs (e)(3) and (e)(4) of these application requirements and implementing the evaluation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 the narrative under "Required Project Assurances" or the appendices as directed,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project's proposed goals, activities, outputs, and outcomes. A logic model communicates how a project will achieve its outcomes and provides a framework for both the formative and summative evaluations of the project.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Web sites provide more information on logic models: </w:t>
      </w:r>
      <w:hyperlink r:id="rId15" w:history="1">
        <w:r>
          <w:rPr>
            <w:rFonts w:ascii="arial" w:eastAsia="arial" w:hAnsi="arial" w:cs="arial"/>
            <w:b w:val="0"/>
            <w:i/>
            <w:strike w:val="0"/>
            <w:noProof w:val="0"/>
            <w:color w:val="0077CC"/>
            <w:position w:val="0"/>
            <w:sz w:val="20"/>
            <w:u w:val="single"/>
            <w:vertAlign w:val="baseline"/>
          </w:rPr>
          <w:t>www.researchutilization.org/matrix/logicmodel_resource3c.html</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www.tadnet.org/pages/589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a conceptual framework for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Appendix A, person-loading charts (charts listing information such as key project staff, their full-time equivalent, and the number of days allocated to each major activity) and timelines to illustrate the management plan described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Include in the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one and one-half day kick-off meeting to be held in Washington, DC, after receipt of the award, and an annual planning meeting held in Washington, DC, with the OSEP project officer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three-day project directors' meeting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One two-day trip annually to attend Department briefings, Department-sponsored conferences, and other meetings, as requested by OSEP.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one-day meeting in Washington, DC, as described under the heading Fourth and Fifth Years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 line item for a summative evaluation to be conducted by an independent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 line item for an annual set-aside of five percent of the grant amount to support emerging needs that are consistent with the proposed project's activities, as those needs are identified in consultation with OSEP.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 approval from the OSEP project officer, the Center must reallocate any remaining funds from this annual set-aside no later than the end of the third quarter of each budget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Fourth and Fifth Years of the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deciding whether to continue funding the Center for the fourth and fifth years, the Secretary will consider the requirements of </w:t>
      </w:r>
      <w:hyperlink r:id="rId17" w:history="1">
        <w:r>
          <w:rPr>
            <w:rFonts w:ascii="arial" w:eastAsia="arial" w:hAnsi="arial" w:cs="arial"/>
            <w:b w:val="0"/>
            <w:i/>
            <w:strike w:val="0"/>
            <w:noProof w:val="0"/>
            <w:color w:val="0077CC"/>
            <w:position w:val="0"/>
            <w:sz w:val="20"/>
            <w:u w:val="single"/>
            <w:vertAlign w:val="baseline"/>
          </w:rPr>
          <w:t>34 CFR 75.253(a)</w:t>
        </w:r>
      </w:hyperlink>
      <w:r>
        <w:rPr>
          <w:rFonts w:ascii="arial" w:eastAsia="arial" w:hAnsi="arial" w:cs="arial"/>
          <w:b w:val="0"/>
          <w:i w:val="0"/>
          <w:strike w:val="0"/>
          <w:noProof w:val="0"/>
          <w:color w:val="000000"/>
          <w:position w:val="0"/>
          <w:sz w:val="20"/>
          <w:u w:val="none"/>
          <w:vertAlign w:val="baseline"/>
        </w:rPr>
        <w:t>, as well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review team consisting of experts selected by the Secretary. This intensive review will be conducted during a one-day meeting in Washington, DC, that will be held during the last half of the second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timeliness and effectiveness with which all requirements of the negotiated cooperative agreement have been or are being met by the Center;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quality, relevance, and usefulness of the Center's activities and products and the degree to which the Center's activities and products have contributed to changed practice and improved student access to the general education curriculum through improved access to high-quality AEM and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Abedi, J., &amp; Ewers, N. (2013, February). Smarter balanced assessment consortium: Accommodations for English language learners and students with disabilities. Retrieved from </w:t>
      </w:r>
      <w:hyperlink r:id="rId18" w:history="1">
        <w:r>
          <w:rPr>
            <w:rFonts w:ascii="arial" w:eastAsia="arial" w:hAnsi="arial" w:cs="arial"/>
            <w:b w:val="0"/>
            <w:i/>
            <w:strike w:val="0"/>
            <w:noProof w:val="0"/>
            <w:color w:val="0077CC"/>
            <w:position w:val="0"/>
            <w:sz w:val="20"/>
            <w:u w:val="single"/>
            <w:vertAlign w:val="baseline"/>
          </w:rPr>
          <w:t>www.smarterbalanced.org/wordpress/wp-content/uploads/2012/08/Accomodations-for-under-represented-students.pdf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Division for Early Childhood of the Council for Exceptional Children. (2014, April). Recommended Practices in Early Intervention/Early Childhood Special Education 2014. Retrieved from </w:t>
      </w:r>
      <w:hyperlink r:id="rId19" w:history="1">
        <w:r>
          <w:rPr>
            <w:rFonts w:ascii="arial" w:eastAsia="arial" w:hAnsi="arial" w:cs="arial"/>
            <w:b w:val="0"/>
            <w:i/>
            <w:strike w:val="0"/>
            <w:noProof w:val="0"/>
            <w:color w:val="0077CC"/>
            <w:position w:val="0"/>
            <w:sz w:val="20"/>
            <w:u w:val="single"/>
            <w:vertAlign w:val="baseline"/>
          </w:rPr>
          <w:t>http://dec.membershipsoftware.org/files/DEC%20RPs%206%2025%202014%20final1.pdf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Stahl, S. (2004). The promise of accessible textbooks: Increased achievement for all students. Wakefield, MA: National Center on Accessing the General Curriculum. Retrieved from </w:t>
      </w:r>
      <w:hyperlink r:id="rId20" w:history="1">
        <w:r>
          <w:rPr>
            <w:rFonts w:ascii="arial" w:eastAsia="arial" w:hAnsi="arial" w:cs="arial"/>
            <w:b w:val="0"/>
            <w:i/>
            <w:strike w:val="0"/>
            <w:noProof w:val="0"/>
            <w:color w:val="0077CC"/>
            <w:position w:val="0"/>
            <w:sz w:val="20"/>
            <w:u w:val="single"/>
            <w:vertAlign w:val="baseline"/>
          </w:rPr>
          <w:t>http://aim.cast.org/learn/historyarchive/backgroundpapers/promise_of_accessible_textbooks#.VE6MEfldXYg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and requirements. Section 681(d) of IDEA, however, makes the public comment requirements of the APA inapplicable to the priority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vertAlign w:val="baseline"/>
          </w:rPr>
          <w:t>20 U.S.C. 1474</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$ 700,000 for the first year; and $ 1,200,000 for each subsequent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$ 700,000 for the first year or $ 1,200,000 for a subsequent year. The Assistant Secretary for Special Education and Rehabilitative Services </w:t>
      </w:r>
      <w:r>
        <w:rPr>
          <w:rFonts w:ascii="arial" w:eastAsia="arial" w:hAnsi="arial" w:cs="arial"/>
          <w:b/>
          <w:i w:val="0"/>
          <w:strike w:val="0"/>
          <w:noProof w:val="0"/>
          <w:color w:val="000000"/>
          <w:position w:val="0"/>
          <w:sz w:val="20"/>
          <w:u w:val="none"/>
          <w:vertAlign w:val="baseline"/>
        </w:rPr>
        <w:t> [*18835] </w:t>
      </w:r>
      <w:r>
        <w:rPr>
          <w:rFonts w:ascii="arial" w:eastAsia="arial" w:hAnsi="arial" w:cs="arial"/>
          <w:b w:val="0"/>
          <w:i w:val="0"/>
          <w:strike w:val="0"/>
          <w:noProof w:val="0"/>
          <w:color w:val="000000"/>
          <w:position w:val="0"/>
          <w:sz w:val="20"/>
          <w:u w:val="none"/>
          <w:vertAlign w:val="baseline"/>
        </w:rPr>
        <w:t xml:space="preserve"> may change the maximum amount through a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 with an optional additional 24 months based on performance. Applications must include plans for both the 36-month award and the 24-month extension.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LEAs, including public charter schools that are considered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 General Requirements:</w:t>
      </w:r>
      <w:r>
        <w:rPr>
          <w:rFonts w:ascii="arial" w:eastAsia="arial" w:hAnsi="arial" w:cs="arial"/>
          <w:b w:val="0"/>
          <w:i w:val="0"/>
          <w:strike w:val="0"/>
          <w:noProof w:val="0"/>
          <w:color w:val="000000"/>
          <w:position w:val="0"/>
          <w:sz w:val="20"/>
          <w:u w:val="none"/>
          <w:vertAlign w:val="baseline"/>
        </w:rPr>
        <w:t xml:space="preserve"> (a)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under this program must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1"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2"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3"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Page Limit: The application narrative (part III of the application) is where you, the applicant, address the selection criteria that reviewers use to evaluate your application. You must limit part III to no more than 70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 does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 does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22,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 O.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 O.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 registration process can take approximately seven business days, but </w:t>
      </w:r>
      <w:r>
        <w:rPr>
          <w:rFonts w:ascii="arial" w:eastAsia="arial" w:hAnsi="arial" w:cs="arial"/>
          <w:b/>
          <w:i w:val="0"/>
          <w:strike w:val="0"/>
          <w:noProof w:val="0"/>
          <w:color w:val="000000"/>
          <w:position w:val="0"/>
          <w:sz w:val="20"/>
          <w:u w:val="none"/>
          <w:vertAlign w:val="baseline"/>
        </w:rPr>
        <w:t> [*18836] </w:t>
      </w:r>
      <w:r>
        <w:rPr>
          <w:rFonts w:ascii="arial" w:eastAsia="arial" w:hAnsi="arial" w:cs="arial"/>
          <w:b w:val="0"/>
          <w:i w:val="0"/>
          <w:strike w:val="0"/>
          <w:noProof w:val="0"/>
          <w:color w:val="000000"/>
          <w:position w:val="0"/>
          <w:sz w:val="20"/>
          <w:u w:val="none"/>
          <w:vertAlign w:val="baseline"/>
        </w:rPr>
        <w:t xml:space="preserve">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Research and Development Center to Advance the Use of New and Emerging Technologies to Ensure Accessibility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84.327B, must be submitted electronically using the Governmentwide Grants.gov Apply site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Research and Development Center to Advance the Use of New and Emerging Technologies to Ensure Accessibility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84.327, not 84.327B).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7"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Grants.gov system, we will grant you an extension until 4:30:00 p.m., </w:t>
      </w:r>
      <w:r>
        <w:rPr>
          <w:rFonts w:ascii="arial" w:eastAsia="arial" w:hAnsi="arial" w:cs="arial"/>
          <w:b/>
          <w:i w:val="0"/>
          <w:strike w:val="0"/>
          <w:noProof w:val="0"/>
          <w:color w:val="000000"/>
          <w:position w:val="0"/>
          <w:sz w:val="20"/>
          <w:u w:val="none"/>
          <w:vertAlign w:val="baseline"/>
        </w:rPr>
        <w:t> [*18837] </w:t>
      </w:r>
      <w:r>
        <w:rPr>
          <w:rFonts w:ascii="arial" w:eastAsia="arial" w:hAnsi="arial" w:cs="arial"/>
          <w:b w:val="0"/>
          <w:i w:val="0"/>
          <w:strike w:val="0"/>
          <w:noProof w:val="0"/>
          <w:color w:val="000000"/>
          <w:position w:val="0"/>
          <w:sz w:val="20"/>
          <w:u w:val="none"/>
          <w:vertAlign w:val="baseline"/>
        </w:rPr>
        <w:t xml:space="preserve">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the capacity to upload large documents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Glinda Hill, U.S. Department of Education, 400 Maryland Avenue SW., room 4063, Potomac Center Plaza (PCP), Washington, DC 20202-2600. FAX: (202) 245-7617.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84.327B),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84.327B),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w:t>
      </w:r>
      <w:hyperlink r:id="rId28"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and are listed in the application package.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9"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w:t>
      </w:r>
      <w:r>
        <w:rPr>
          <w:rFonts w:ascii="arial" w:eastAsia="arial" w:hAnsi="arial" w:cs="arial"/>
          <w:b/>
          <w:i w:val="0"/>
          <w:strike w:val="0"/>
          <w:noProof w:val="0"/>
          <w:color w:val="000000"/>
          <w:position w:val="0"/>
          <w:sz w:val="20"/>
          <w:u w:val="none"/>
          <w:vertAlign w:val="baseline"/>
        </w:rPr>
        <w:t> [*18838] </w:t>
      </w:r>
      <w:r>
        <w:rPr>
          <w:rFonts w:ascii="arial" w:eastAsia="arial" w:hAnsi="arial" w:cs="arial"/>
          <w:b w:val="0"/>
          <w:i w:val="0"/>
          <w:strike w:val="0"/>
          <w:noProof w:val="0"/>
          <w:color w:val="000000"/>
          <w:position w:val="0"/>
          <w:sz w:val="20"/>
          <w:u w:val="none"/>
          <w:vertAlign w:val="baseline"/>
        </w:rPr>
        <w:t xml:space="preserve">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 However, if the Department decides to select an equal number of applications in each group for funding, this may result in different cut-off points for fundable applications in each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w:t>
      </w:r>
      <w:hyperlink r:id="rId35"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 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6"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7"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8"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39"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(GPRA), the Department has established a set of performance measures, including long-term measures, that are designed to yield information on various aspects of the effectiveness and quality of the Educational Technology, Media, and Materials for Individuals with Disabilities Program. These measures are included in the application package and focus on the extent to which projects are of high quality, are relevant to improving outcomes of children with disabilities, contribute to improving outcomes for children with disabilities, and generate evidence of validity and availability to appropriate populations.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performance reports and additional performance data to the Department (</w:t>
      </w:r>
      <w:hyperlink r:id="rId40"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 xml:space="preserve"> and </w:t>
      </w:r>
      <w:hyperlink r:id="rId41" w:history="1">
        <w:r>
          <w:rPr>
            <w:rFonts w:ascii="arial" w:eastAsia="arial" w:hAnsi="arial" w:cs="arial"/>
            <w:b w:val="0"/>
            <w:i/>
            <w:strike w:val="0"/>
            <w:noProof w:val="0"/>
            <w:color w:val="0077CC"/>
            <w:position w:val="0"/>
            <w:sz w:val="20"/>
            <w:u w:val="single"/>
            <w:vertAlign w:val="baseline"/>
          </w:rPr>
          <w:t>75.591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7"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Glinda Hill, U.S. Department of Education, 400 Maryland Avenue SW., Room 4063, PCP, Washington, DC 20202-2600. Telephone: (202) 245-7376.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Grants and Contracts Services Team, U.S. Department of Education, 400 Maryland Avenue SW., Room 5037, PCP, Washington, DC 20202-2550.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2"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3"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2,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Sue Swenson,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2015-08010 Filed 4-7-15;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26,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22, 2015.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18831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SJ1-NRF4-43PC-00000-00&amp;context=" TargetMode="External" /><Relationship Id="rId11" Type="http://schemas.openxmlformats.org/officeDocument/2006/relationships/hyperlink" Target="http://dictionary.reference.com/browse/markup" TargetMode="External" /><Relationship Id="rId12" Type="http://schemas.openxmlformats.org/officeDocument/2006/relationships/hyperlink" Target="http://idpf.org/news/aap-epub-3-implementation-white-paper-now-available" TargetMode="External" /><Relationship Id="rId13" Type="http://schemas.openxmlformats.org/officeDocument/2006/relationships/hyperlink" Target="http://www.imsglobal.org/edupub/EPUB3QTILTICaliper_BestPracticesvd7.pdf" TargetMode="External" /><Relationship Id="rId14" Type="http://schemas.openxmlformats.org/officeDocument/2006/relationships/hyperlink" Target="http://www.tea.state.tx.us/index4.aspx?id=25769810909" TargetMode="External" /><Relationship Id="rId15" Type="http://schemas.openxmlformats.org/officeDocument/2006/relationships/hyperlink" Target="http://www.researchutilization.org/matrix/logicmodel_resource3c.html" TargetMode="External" /><Relationship Id="rId16" Type="http://schemas.openxmlformats.org/officeDocument/2006/relationships/hyperlink" Target="http://www.tadnet.org/pages/589" TargetMode="External" /><Relationship Id="rId17" Type="http://schemas.openxmlformats.org/officeDocument/2006/relationships/hyperlink" Target="https://advance.lexis.com/api/document?collection=administrative-codes&amp;id=urn:contentItem:5GMB-DPB0-008H-02K8-00000-00&amp;context=" TargetMode="External" /><Relationship Id="rId18" Type="http://schemas.openxmlformats.org/officeDocument/2006/relationships/hyperlink" Target="http://www.smarterbalanced.org/wordpress/wp-content/uploads/2012/08/Accomodations-for-under-represented-students.pdf" TargetMode="External" /><Relationship Id="rId19" Type="http://schemas.openxmlformats.org/officeDocument/2006/relationships/hyperlink" Target="http://dec.membershipsoftware.org/files/DEC%20RPs%206%2025%202014%20final1.pdf" TargetMode="External" /><Relationship Id="rId2" Type="http://schemas.openxmlformats.org/officeDocument/2006/relationships/webSettings" Target="webSettings.xml" /><Relationship Id="rId20" Type="http://schemas.openxmlformats.org/officeDocument/2006/relationships/hyperlink" Target="http://aim.cast.org/learn/historyarchive/backgroundpapers/promise_of_accessible_textbooks#.VE6MEfldXYg" TargetMode="External" /><Relationship Id="rId21" Type="http://schemas.openxmlformats.org/officeDocument/2006/relationships/hyperlink" Target="http://www.ed.gov/fund/grant/apply/grantapps/index.html" TargetMode="External" /><Relationship Id="rId22" Type="http://schemas.openxmlformats.org/officeDocument/2006/relationships/hyperlink" Target="http://www.EDPubs.gov" TargetMode="External" /><Relationship Id="rId23" Type="http://schemas.openxmlformats.org/officeDocument/2006/relationships/hyperlink" Target="mailto:edpubs@inet.ed.gov" TargetMode="External" /><Relationship Id="rId24" Type="http://schemas.openxmlformats.org/officeDocument/2006/relationships/hyperlink" Target="http://www.SAM.gov" TargetMode="External" /><Relationship Id="rId25" Type="http://schemas.openxmlformats.org/officeDocument/2006/relationships/hyperlink" Target="http://www.grants.gov/web/grants/register.html" TargetMode="External" /><Relationship Id="rId26" Type="http://schemas.openxmlformats.org/officeDocument/2006/relationships/hyperlink" Target="http://www.Grants.gov" TargetMode="External" /><Relationship Id="rId27" Type="http://schemas.openxmlformats.org/officeDocument/2006/relationships/hyperlink" Target="http://www.G5.gov" TargetMode="External" /><Relationship Id="rId28" Type="http://schemas.openxmlformats.org/officeDocument/2006/relationships/hyperlink" Target="https://advance.lexis.com/api/document?collection=administrative-codes&amp;id=urn:contentItem:5S7T-7HS0-008H-02VY-00000-00&amp;context=" TargetMode="External" /><Relationship Id="rId29" Type="http://schemas.openxmlformats.org/officeDocument/2006/relationships/hyperlink" Target="https://advance.lexis.com/api/document?collection=administrative-codes&amp;id=urn:contentItem:5GMB-DPB0-008H-02G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3P-00000-00&amp;context=" TargetMode="External" /><Relationship Id="rId31" Type="http://schemas.openxmlformats.org/officeDocument/2006/relationships/hyperlink" Target="https://advance.lexis.com/api/document?collection=administrative-codes&amp;id=urn:contentItem:5R5H-J1H0-008H-043K-00000-00&amp;context=" TargetMode="External" /><Relationship Id="rId32" Type="http://schemas.openxmlformats.org/officeDocument/2006/relationships/hyperlink" Target="https://advance.lexis.com/api/document?collection=administrative-codes&amp;id=urn:contentItem:5KS0-F5W0-008H-024V-00000-00&amp;context=" TargetMode="External" /><Relationship Id="rId33" Type="http://schemas.openxmlformats.org/officeDocument/2006/relationships/hyperlink" Target="https://advance.lexis.com/api/document?collection=administrative-codes&amp;id=urn:contentItem:5KS0-F600-008H-02PT-00000-00&amp;context=" TargetMode="External" /><Relationship Id="rId34" Type="http://schemas.openxmlformats.org/officeDocument/2006/relationships/hyperlink" Target="https://advance.lexis.com/api/document?collection=administrative-codes&amp;id=urn:contentItem:5KS0-F5W0-008H-025B-00000-00&amp;context=" TargetMode="External" /><Relationship Id="rId35" Type="http://schemas.openxmlformats.org/officeDocument/2006/relationships/hyperlink" Target="https://advance.lexis.com/api/document?collection=administrative-codes&amp;id=urn:contentItem:5F34-Y1R0-008G-Y1F9-00000-00&amp;context=" TargetMode="External" /><Relationship Id="rId36" Type="http://schemas.openxmlformats.org/officeDocument/2006/relationships/hyperlink" Target="https://advance.lexis.com/api/document?collection=administrative-codes&amp;id=urn:contentItem:5F2R-48P0-008G-Y31V-00000-00&amp;context=" TargetMode="External" /><Relationship Id="rId37" Type="http://schemas.openxmlformats.org/officeDocument/2006/relationships/hyperlink" Target="https://advance.lexis.com/api/document?collection=administrative-codes&amp;id=urn:contentItem:5GMB-DPC0-008H-02S7-00000-00&amp;context=" TargetMode="External" /><Relationship Id="rId38" Type="http://schemas.openxmlformats.org/officeDocument/2006/relationships/hyperlink" Target="https://advance.lexis.com/api/document?collection=administrative-codes&amp;id=urn:contentItem:5GMB-DPC0-008H-02SK-00000-00&amp;context=" TargetMode="External" /><Relationship Id="rId39" Type="http://schemas.openxmlformats.org/officeDocument/2006/relationships/hyperlink" Target="http://www.ed.gov/fund/grant/apply/appforms/appforms.html"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B0-008H-027J-00000-00&amp;context=" TargetMode="External" /><Relationship Id="rId41" Type="http://schemas.openxmlformats.org/officeDocument/2006/relationships/hyperlink" Target="https://advance.lexis.com/api/document?collection=administrative-codes&amp;id=urn:contentItem:5GMB-DPB0-008H-027K-00000-00&amp;context=" TargetMode="External" /><Relationship Id="rId42" Type="http://schemas.openxmlformats.org/officeDocument/2006/relationships/hyperlink" Target="http://www.gpo.gov/fdsys" TargetMode="External" /><Relationship Id="rId43" Type="http://schemas.openxmlformats.org/officeDocument/2006/relationships/hyperlink" Target="http://www.federalregister.gov" TargetMode="External" /><Relationship Id="rId44" Type="http://schemas.openxmlformats.org/officeDocument/2006/relationships/numbering" Target="numbering.xm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PM-40B0-006W-8406-00000-00&amp;context=" TargetMode="External" /><Relationship Id="rId8" Type="http://schemas.openxmlformats.org/officeDocument/2006/relationships/hyperlink" Target="https://advance.lexis.com/api/document?collection=statutes-legislation&amp;id=urn:contentItem:4YF7-GTC1-NRF4-41G0-00000-00&amp;context=" TargetMode="External" /><Relationship Id="rId9" Type="http://schemas.openxmlformats.org/officeDocument/2006/relationships/hyperlink" Target="https://advance.lexis.com/api/document?collection=administrative-codes&amp;id=urn:contentItem:5GMB-DPB0-008H-02B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80339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71569883</vt:lpwstr>
  </property>
  <property fmtid="{D5CDD505-2E9C-101B-9397-08002B2CF9AE}" pid="3" name="LADocCount">
    <vt:lpwstr>1</vt:lpwstr>
  </property>
  <property fmtid="{D5CDD505-2E9C-101B-9397-08002B2CF9AE}" pid="4" name="UserPermID">
    <vt:lpwstr>urn:user:PA185916758</vt:lpwstr>
  </property>
</Properties>
</file>