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1900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009, Wednesday, January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1900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Technology, Media, and Materials for Individuals With Disabilities--Television Access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Educational Technology, Media, and Materials for Individuals with Disabilities--Television Access 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84.327C.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Educational Technology, Media, and Materials for Individuals with Disabilities Program n1 are to improve results for children with disabilities by: (1) Promoting the development, demonstration, and use of technology; (2) supporting educational media activities designed to be of educational value in the classroom for students with disabilities; (3) providing support for captioning and video description that is appropriate for use in the classroom; and (4) providing accessible educational materials to students with disabilities in a timely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This program was formerly called "Technology and Media Services for Individuals with Disabilities." The Department has changed the name to Educational Technology, Media, and Materials for Individuals with Disabilities Program and updated the purposes of the program to more clearly convey that the program includes accessible educational materials. The program's activities and statutory authorization (</w:t>
      </w:r>
      <w:hyperlink r:id="rId8" w:history="1">
        <w:r>
          <w:rPr>
            <w:rFonts w:ascii="arial" w:eastAsia="arial" w:hAnsi="arial" w:cs="arial"/>
            <w:b w:val="0"/>
            <w:i/>
            <w:strike w:val="0"/>
            <w:noProof w:val="0"/>
            <w:color w:val="0077CC"/>
            <w:position w:val="0"/>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remain unchanged.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9"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674(c) and 681(d) of the Individuals with Disabilities Education Act (IDEA) (</w:t>
      </w:r>
      <w:hyperlink r:id="rId8" w:history="1">
        <w:r>
          <w:rPr>
            <w:rFonts w:ascii="arial" w:eastAsia="arial" w:hAnsi="arial" w:cs="arial"/>
            <w:b w:val="0"/>
            <w:i/>
            <w:strike w:val="0"/>
            <w:noProof w:val="0"/>
            <w:color w:val="0077CC"/>
            <w:position w:val="0"/>
            <w:sz w:val="20"/>
            <w:u w:val="single"/>
            <w:vertAlign w:val="baseline"/>
          </w:rPr>
          <w:t>20 U.S.C. 1474(c)</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for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 Technology, Media, and Materials for Individuals With Disabilities--Television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Communications Commission (FCC) is responsible for implementing and monitoring compliance with the captioning requirements of the Telecommunications Act of 1996 (Act). Consistent with the Act, the FCC requires most television programs to be captioned, but provides for certain exemptions to this requirement. The FCC also has limited requirements for video description. The FCC's video description requirements provide some access to television programs for individuals with blindness or low vision, but are not as widely applicable as the closed captioning requirements. Therefore, only a small number of television programs are actually broadcast with video description. The following Web sites provide more information on captioning and video description: </w:t>
      </w:r>
      <w:hyperlink r:id="rId11" w:history="1">
        <w:r>
          <w:rPr>
            <w:rFonts w:ascii="arial" w:eastAsia="arial" w:hAnsi="arial" w:cs="arial"/>
            <w:b w:val="0"/>
            <w:i/>
            <w:strike w:val="0"/>
            <w:noProof w:val="0"/>
            <w:color w:val="0077CC"/>
            <w:position w:val="0"/>
            <w:sz w:val="20"/>
            <w:u w:val="single"/>
            <w:vertAlign w:val="baseline"/>
          </w:rPr>
          <w:t>www.fcc.gov/cgb/consumerfacts/closedcaption.html</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www.fcc.gov/encyclopedia/video-description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authority in IDEA Section 1464(c), the Department has made awards for television access since 1995 in order to provide video description and captioning under the Educational Technology, Media, and Materials for Individuals with Disabilities program. The following Web site contains abstracts of previously funded projects: </w:t>
      </w:r>
      <w:hyperlink r:id="rId13" w:history="1">
        <w:r>
          <w:rPr>
            <w:rFonts w:ascii="arial" w:eastAsia="arial" w:hAnsi="arial" w:cs="arial"/>
            <w:b w:val="0"/>
            <w:i/>
            <w:strike w:val="0"/>
            <w:noProof w:val="0"/>
            <w:color w:val="0077CC"/>
            <w:position w:val="0"/>
            <w:sz w:val="20"/>
            <w:u w:val="single"/>
            <w:vertAlign w:val="baseline"/>
          </w:rPr>
          <w:t>http://publicddb.tadnet.org/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(Use the keyword search function with the term "video description.") Despite the efforts of the Department, not all television programs that are appropriate for use in the classroom setting for children with disabilities are being video described or captioned.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absolute priority for Television Access is to fund cooperative agreements that will improve the learning opportunities for children with disabilities by providing access to television programming through high-quality video description and captioning. This project will support access--through high-quality video description and captioning--to widely available television programs that are appropriate for use in the classroom setting and are not otherwise required to be captioned or described by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The Department's Office of Special Education Programs (OSEP) encourages innovative approaches to meet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 address the need for access to educational television programming to support equitable opportunities in early learning programs, schools, and workplaces.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Present applicable national, State, regional, or local data demonstrating the need for accessible educational television programs in schools and workplaces for children with disabilities, including children with disabilities who may be underserved;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Demonstrate knowledge of the benefits, services, or opportunities that are available through the use of educational television programming in schools and workplaces that are fully accessible to children with disabilities, including children with disabilities who may be underserved.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Services," how the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Take into account the preferences of educators, students with disabilities, and the parents of these students in selecting the programming to be video described, or video described and captioned;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Use criteria to select television programs of high educational value that are widely available and are appropriate for use in the classroom setting for children with disabilities at the </w:t>
      </w:r>
      <w:r>
        <w:rPr>
          <w:rFonts w:ascii="arial" w:eastAsia="arial" w:hAnsi="arial" w:cs="arial"/>
          <w:b/>
          <w:i w:val="0"/>
          <w:strike w:val="0"/>
          <w:noProof w:val="0"/>
          <w:color w:val="000000"/>
          <w:position w:val="0"/>
          <w:sz w:val="20"/>
          <w:u w:val="none"/>
          <w:vertAlign w:val="baseline"/>
        </w:rPr>
        <w:t> [*1901] </w:t>
      </w:r>
      <w:r>
        <w:rPr>
          <w:rFonts w:ascii="arial" w:eastAsia="arial" w:hAnsi="arial" w:cs="arial"/>
          <w:b w:val="0"/>
          <w:i w:val="0"/>
          <w:strike w:val="0"/>
          <w:noProof w:val="0"/>
          <w:color w:val="000000"/>
          <w:position w:val="0"/>
          <w:sz w:val="20"/>
          <w:u w:val="none"/>
          <w:vertAlign w:val="baseline"/>
        </w:rPr>
        <w:t xml:space="preserve"> preschool, elementary, or secondary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Determine the extent to which the programming selected for video description or video description and captioning is widely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equal access and treatment for members of groups that have traditionally been underrepresented based on race, color, national origin, linguistic diversity,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on how the proposed project will achieve its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Use a conceptual framework to develop project plans and activities describing any underlying concepts, assumptions, expectations, beliefs, or theories, as well as the presumed relationships or linkages among these variables, and any empirical support for this framework;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Be based on current research and make use of evidence-based practices.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and evidence-based practices related to the benefits, services, or opportunities that are available through the use of educational television programming in schools and workplaces;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process the proposed project will use to incorporate current research and evidence-based practices to guide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key personnel, consultants, and contractors have the qualifications, experience, and commitment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project will encourage applications for employment from persons who are members of groups that have traditionally been underrepresented based on race, color, national origin, linguistic diversity,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key partners have adequate resources to carry out proposed project activities.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willingness of the potential television program providers or program owners, as appropriate, to permit and facilitate the video description or the video description and captioning of their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Requirements and assurances that the programming that is made accessible under this project will continue to contain those video descriptions and captions after the programming is aired;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programming video described or captioned under this project would not otherwise be video described or captioned to meet the FCC's requirements, or how this programming is specifically exempt from the FCC's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total number of program hours proposed to be made accessible through video description, or video description and captioning, under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cost per hour for video description and, if the applicant is proposing both video description and captioning, the cost per hour for video description and for captioning;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plan, if any, to increase the anticipated shelf-life and distribution of educational programming described, or captioned and described, under this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project will use emerging technology to lower the cost of video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personnel, consultants, and contractors will be sufficiently allocated to the project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but not limited to, students and families, early intervention service providers, educators, researchers, and other OSEP-funded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 the narrative section of the application under "Quality of the Evaluation Plan," include an evaluation plan, as described in the following paragraphs. The evaluation plan must describe: measures of progress in implementation, including the extent to which the project's products and services have reached its target population; and measures of intended outcomes or results of the project's activities in order to assess the effectiveness of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designing the evaluation plan, the project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Revise, as needed, the logic model submitted in the grant application to provide for a more comprehensive measurement of implementation and outcomes and to reflect any changes or clarifications to the model discussed at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Revise, as needed, the evaluation plan submitted in the grant application so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Specifies the measures and associated instruments or sources for data appropriate to the evaluation questions, suggests analytic strategies for those data, provides a timeline for conducting the evaluation, and includes staff assignments for completion of the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Can be used to assist the project director and the OSEP project officer to specify the performance measures to be addressed in the project's annual performance report;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 sufficient funds in each budget year to cover the costs of carrying out the tasks described in paragraphs (e)(1) and (e)(2) of this priority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narrative under "Required Project Assurances" or appendices as directed,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 A logic model communicates how a project will achieve its intended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more information on logic models: </w:t>
      </w:r>
      <w:hyperlink r:id="rId14"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www.tadnet.org/pages/589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person-loading charts and timelines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Include in the budget costs associated with attendance at the following: </w:t>
      </w:r>
      <w:r>
        <w:rPr>
          <w:rFonts w:ascii="arial" w:eastAsia="arial" w:hAnsi="arial" w:cs="arial"/>
          <w:b/>
          <w:i w:val="0"/>
          <w:strike w:val="0"/>
          <w:noProof w:val="0"/>
          <w:color w:val="000000"/>
          <w:position w:val="0"/>
          <w:sz w:val="20"/>
          <w:u w:val="none"/>
          <w:vertAlign w:val="baseline"/>
        </w:rPr>
        <w:t> [*1902]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to be held in Washington, DC, after receipt of the award, and an annual planning meeting held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three-day project directors' conference in Washington, DC, during each year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One trip annually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the project maintains a Web site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application notice (also referred to as a notice inviting applications (NIA)) is being published before the Department adopts the Uniform Administrative Requirements, Cost Principles, and Audit Requirements in 2 CFR part 200. We expect to publish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adopt those requirements before December 26, 2014, and make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 on that date. Because grants awarded under this NIA will likely be made after the Department adopts the requirements in 2 CFR part 200, we list as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those that are currently effective and those that will be effective at the time the Department makes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74, 75, 77, 79, 80,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we award grants under this NIA,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(a)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and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$ 28,047,000 for the Educational Technology, Media, and Materials for Individuals with Disabilities program for FY 2015, of which we intend to use an estimated $ 2,000,000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$ 400,000 for a single budget period of 12 months. The Assistant Secretary for Special Education and Rehabilitative Services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(SEAs); local educational agencies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6"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"page" is 8.5" x 11", on one side only, with 1" margins at the top, bottom, and both sides. </w:t>
      </w:r>
      <w:r>
        <w:rPr>
          <w:rFonts w:ascii="arial" w:eastAsia="arial" w:hAnsi="arial" w:cs="arial"/>
          <w:b/>
          <w:i w:val="0"/>
          <w:strike w:val="0"/>
          <w:noProof w:val="0"/>
          <w:color w:val="000000"/>
          <w:position w:val="0"/>
          <w:sz w:val="20"/>
          <w:u w:val="none"/>
          <w:vertAlign w:val="baseline"/>
        </w:rPr>
        <w:t> [*1903]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or if you apply other standards and exceed the equivalent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0"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Television Access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84.327C, must be submitted electronically using the Governmentwide Grants.gov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Television Access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w:t>
      </w:r>
      <w:r>
        <w:rPr>
          <w:rFonts w:ascii="arial" w:eastAsia="arial" w:hAnsi="arial" w:cs="arial"/>
          <w:b/>
          <w:i w:val="0"/>
          <w:strike w:val="0"/>
          <w:noProof w:val="0"/>
          <w:color w:val="000000"/>
          <w:position w:val="0"/>
          <w:sz w:val="20"/>
          <w:u w:val="none"/>
          <w:vertAlign w:val="baseline"/>
        </w:rPr>
        <w:t> [*1904] </w:t>
      </w:r>
      <w:r>
        <w:rPr>
          <w:rFonts w:ascii="arial" w:eastAsia="arial" w:hAnsi="arial" w:cs="arial"/>
          <w:b w:val="0"/>
          <w:i w:val="0"/>
          <w:strike w:val="0"/>
          <w:noProof w:val="0"/>
          <w:color w:val="000000"/>
          <w:position w:val="0"/>
          <w:sz w:val="20"/>
          <w:u w:val="none"/>
          <w:vertAlign w:val="baseline"/>
        </w:rPr>
        <w:t xml:space="preserve">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84.327, not 84.327C).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may request that you provide us original signatures on forms at a later date. </w:t>
      </w: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Jo Ann McCann, U.S. Department of Education, 400 Maryland Avenue SW., Room 4076, Potomac Center Plaza (PCP), Washington, DC 20202-2600.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w:t>
      </w:r>
      <w:r>
        <w:rPr>
          <w:rFonts w:ascii="arial" w:eastAsia="arial" w:hAnsi="arial" w:cs="arial"/>
          <w:b/>
          <w:i w:val="0"/>
          <w:strike w:val="0"/>
          <w:noProof w:val="0"/>
          <w:color w:val="000000"/>
          <w:position w:val="0"/>
          <w:sz w:val="20"/>
          <w:u w:val="none"/>
          <w:vertAlign w:val="baseline"/>
        </w:rPr>
        <w:t> [*1905] </w:t>
      </w:r>
      <w:r>
        <w:rPr>
          <w:rFonts w:ascii="arial" w:eastAsia="arial" w:hAnsi="arial" w:cs="arial"/>
          <w:b w:val="0"/>
          <w:i w:val="0"/>
          <w:strike w:val="0"/>
          <w:noProof w:val="0"/>
          <w:color w:val="000000"/>
          <w:position w:val="0"/>
          <w:sz w:val="20"/>
          <w:u w:val="none"/>
          <w:vertAlign w:val="baseline"/>
        </w:rPr>
        <w:t xml:space="preserve"> Department at the following address: U.S. Department of Education, Application Control Center, Attention: (CFDA Number 84.327C),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84.327C),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current </w:t>
      </w:r>
      <w:hyperlink r:id="rId31" w:history="1">
        <w:r>
          <w:rPr>
            <w:rFonts w:ascii="arial" w:eastAsia="arial" w:hAnsi="arial" w:cs="arial"/>
            <w:b w:val="0"/>
            <w:i/>
            <w:strike w:val="0"/>
            <w:noProof w:val="0"/>
            <w:color w:val="0077CC"/>
            <w:position w:val="0"/>
            <w:sz w:val="20"/>
            <w:u w:val="single"/>
            <w:vertAlign w:val="baseline"/>
          </w:rPr>
          <w:t>34 CFR 74.14</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80.12</w:t>
        </w:r>
      </w:hyperlink>
      <w:r>
        <w:rPr>
          <w:rFonts w:ascii="arial" w:eastAsia="arial" w:hAnsi="arial" w:cs="arial"/>
          <w:b w:val="0"/>
          <w:i w:val="0"/>
          <w:strike w:val="0"/>
          <w:noProof w:val="0"/>
          <w:color w:val="000000"/>
          <w:position w:val="0"/>
          <w:sz w:val="20"/>
          <w:u w:val="none"/>
          <w:vertAlign w:val="baseline"/>
        </w:rPr>
        <w:t xml:space="preserve"> and, when grants are made under this NIA,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34 CFR parts 74 or 80, as applicable or, when grants are awarded,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w:t>
      </w:r>
      <w:r>
        <w:rPr>
          <w:rFonts w:ascii="arial" w:eastAsia="arial" w:hAnsi="arial" w:cs="arial"/>
          <w:b/>
          <w:i w:val="0"/>
          <w:strike w:val="0"/>
          <w:noProof w:val="0"/>
          <w:color w:val="000000"/>
          <w:position w:val="0"/>
          <w:sz w:val="20"/>
          <w:u w:val="none"/>
          <w:vertAlign w:val="baseline"/>
        </w:rPr>
        <w:t> [*1906] </w:t>
      </w:r>
      <w:r>
        <w:rPr>
          <w:rFonts w:ascii="arial" w:eastAsia="arial" w:hAnsi="arial" w:cs="arial"/>
          <w:b w:val="0"/>
          <w:i w:val="0"/>
          <w:strike w:val="0"/>
          <w:noProof w:val="0"/>
          <w:color w:val="000000"/>
          <w:position w:val="0"/>
          <w:sz w:val="20"/>
          <w:u w:val="none"/>
          <w:vertAlign w:val="baseline"/>
        </w:rPr>
        <w:t xml:space="preserve"> information on various aspects of the effectiveness and quality of the Educational Technology, Media, and Materials for Individuals with Disabilities program. These measures are included in the application package and focus on the extent to which projects are of high quality, are relevant to improving outcomes of children with disabilities, contribute to improving outcomes for children with disabilities, and generate evidence of validity and availability to appropriate populations.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performance reports and additional performance data to the Department (</w:t>
      </w:r>
      <w:hyperlink r:id="rId37"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75.591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 Ann McCann, U.S. Department of Education, 400 Maryland Avenue SW., Room 4076, PCP, Washington, DC 20202-2600. Telephone: (202) 245-7434.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PCP,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2015-00406 Filed 1-13-15;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14,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16,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14,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1900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www.fcc.gov/cgb/consumerfacts/closedcaption.html" TargetMode="External" /><Relationship Id="rId12" Type="http://schemas.openxmlformats.org/officeDocument/2006/relationships/hyperlink" Target="www.fcc.gov/encyclopedia/video-description" TargetMode="External" /><Relationship Id="rId13" Type="http://schemas.openxmlformats.org/officeDocument/2006/relationships/hyperlink" Target="http://publicddb.tadnet.org/" TargetMode="External" /><Relationship Id="rId14" Type="http://schemas.openxmlformats.org/officeDocument/2006/relationships/hyperlink" Target="www.researchutilization.org/matrix/logicmodel_resource3c.html" TargetMode="External" /><Relationship Id="rId15" Type="http://schemas.openxmlformats.org/officeDocument/2006/relationships/hyperlink" Target="www.tadnet.org/pages/589" TargetMode="External" /><Relationship Id="rId16" Type="http://schemas.openxmlformats.org/officeDocument/2006/relationships/hyperlink" Target="www.ed.gov/fund/grant/apply/grantapps/index.html" TargetMode="External" /><Relationship Id="rId17" Type="http://schemas.openxmlformats.org/officeDocument/2006/relationships/hyperlink" Target="www.EDPubs.gov" TargetMode="External" /><Relationship Id="rId18" Type="http://schemas.openxmlformats.org/officeDocument/2006/relationships/hyperlink" Target="mailto:edpubs@inet.ed.gov" TargetMode="External" /><Relationship Id="rId19" Type="http://schemas.openxmlformats.org/officeDocument/2006/relationships/hyperlink" Target="www.SAM.gov" TargetMode="External" /><Relationship Id="rId2" Type="http://schemas.openxmlformats.org/officeDocument/2006/relationships/webSettings" Target="webSettings.xml" /><Relationship Id="rId20" Type="http://schemas.openxmlformats.org/officeDocument/2006/relationships/hyperlink" Target="http://www2.ed.gov/fund/grant/apply/sam-faqs.html" TargetMode="External" /><Relationship Id="rId21" Type="http://schemas.openxmlformats.org/officeDocument/2006/relationships/hyperlink" Target="www.grants.gov/web/grants/register.html" TargetMode="External" /><Relationship Id="rId22" Type="http://schemas.openxmlformats.org/officeDocument/2006/relationships/hyperlink" Target="www.Grants.gov" TargetMode="External" /><Relationship Id="rId23" Type="http://schemas.openxmlformats.org/officeDocument/2006/relationships/hyperlink" Target="www.G5.gov" TargetMode="External" /><Relationship Id="rId24" Type="http://schemas.openxmlformats.org/officeDocument/2006/relationships/hyperlink" Target="https://advance.lexis.com/api/document?collection=administrative-codes&amp;id=urn:contentItem:5S7T-7HS0-008H-02VY-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G9C-N160-008H-0225-00000-00&amp;context=" TargetMode="External" /><Relationship Id="rId32" Type="http://schemas.openxmlformats.org/officeDocument/2006/relationships/hyperlink" Target="https://advance.lexis.com/api/document?collection=administrative-codes&amp;id=urn:contentItem:5G9C-N150-008H-016W-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www.ed.gov/fund/grant/apply/appforms/appforms.html" TargetMode="External" /><Relationship Id="rId37" Type="http://schemas.openxmlformats.org/officeDocument/2006/relationships/hyperlink" Target="https://advance.lexis.com/api/document?collection=administrative-codes&amp;id=urn:contentItem:5GMB-DPB0-008H-027J-00000-00&amp;context=" TargetMode="External" /><Relationship Id="rId38" Type="http://schemas.openxmlformats.org/officeDocument/2006/relationships/hyperlink" Target="https://advance.lexis.com/api/document?collection=administrative-codes&amp;id=urn:contentItem:5GMB-DPB0-008H-027K-00000-00&amp;context=" TargetMode="External" /><Relationship Id="rId39" Type="http://schemas.openxmlformats.org/officeDocument/2006/relationships/hyperlink" Target="https://advance.lexis.com/api/document?collection=administrative-codes&amp;id=urn:contentItem:5GMB-DPB0-008H-02K8-00000-00&amp;context=" TargetMode="External" /><Relationship Id="rId4" Type="http://schemas.openxmlformats.org/officeDocument/2006/relationships/header" Target="header1.xml" /><Relationship Id="rId40" Type="http://schemas.openxmlformats.org/officeDocument/2006/relationships/hyperlink" Target="www.gpo.gov/fdsys" TargetMode="External" /><Relationship Id="rId41" Type="http://schemas.openxmlformats.org/officeDocument/2006/relationships/hyperlink" Target="www.federalregister.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N-W500-006W-84Y4-00000-00&amp;context=" TargetMode="External" /><Relationship Id="rId8" Type="http://schemas.openxmlformats.org/officeDocument/2006/relationships/hyperlink" Target="https://advance.lexis.com/api/document?collection=statutes-legislation&amp;id=urn:contentItem:4YF7-GTC1-NRF4-41G0-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1900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