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19298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069, Friday, April 10,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19298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April 10,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Alaska Native-Serving and Native Hawaiian-Serving Institutions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Alaska Native-Serving and Native Hawaiian-Serving Institutions (ANNH) Program, 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Numbers:</w:t>
      </w:r>
      <w:r>
        <w:rPr>
          <w:rFonts w:ascii="arial" w:eastAsia="arial" w:hAnsi="arial" w:cs="arial"/>
          <w:b w:val="0"/>
          <w:i w:val="0"/>
          <w:strike w:val="0"/>
          <w:noProof w:val="0"/>
          <w:color w:val="000000"/>
          <w:position w:val="0"/>
          <w:sz w:val="20"/>
          <w:u w:val="none"/>
          <w:vertAlign w:val="baseline"/>
        </w:rPr>
        <w:t xml:space="preserve"> 84.031N and 84.031W.</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hyperlink r:id="rId8" w:history="1">
        <w:r>
          <w:rPr>
            <w:rFonts w:ascii="arial" w:eastAsia="arial" w:hAnsi="arial" w:cs="arial"/>
            <w:b w:val="0"/>
            <w:i/>
            <w:strike w:val="0"/>
            <w:color w:val="0077CC"/>
            <w:sz w:val="20"/>
            <w:u w:val="single"/>
            <w:vertAlign w:val="baseline"/>
          </w:rPr>
          <w:t>Bora.Mpinja@ed.gov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502-7629; </w:t>
      </w:r>
      <w:hyperlink r:id="rId9" w:history="1">
        <w:r>
          <w:rPr>
            <w:rFonts w:ascii="arial" w:eastAsia="arial" w:hAnsi="arial" w:cs="arial"/>
            <w:b w:val="0"/>
            <w:i/>
            <w:strike w:val="0"/>
            <w:noProof w:val="0"/>
            <w:color w:val="0077CC"/>
            <w:position w:val="0"/>
            <w:sz w:val="20"/>
            <w:u w:val="single"/>
            <w:vertAlign w:val="baseline"/>
          </w:rPr>
          <w:t>Robyn.Wood@ed.gov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502-7437; </w:t>
      </w:r>
      <w:hyperlink r:id="rId10" w:history="1">
        <w:r>
          <w:rPr>
            <w:rFonts w:ascii="arial" w:eastAsia="arial" w:hAnsi="arial" w:cs="arial"/>
            <w:b w:val="0"/>
            <w:i/>
            <w:strike w:val="0"/>
            <w:noProof w:val="0"/>
            <w:color w:val="0077CC"/>
            <w:position w:val="0"/>
            <w:sz w:val="20"/>
            <w:u w:val="single"/>
            <w:vertAlign w:val="baseline"/>
          </w:rPr>
          <w:t>Don.Crews@ed.gov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502-7574.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one of the program contact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1"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2"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Delegation of Authority:</w:t>
      </w:r>
      <w:r>
        <w:rPr>
          <w:rFonts w:ascii="arial" w:eastAsia="arial" w:hAnsi="arial" w:cs="arial"/>
          <w:b w:val="0"/>
          <w:i w:val="0"/>
          <w:strike w:val="0"/>
          <w:noProof w:val="0"/>
          <w:color w:val="000000"/>
          <w:position w:val="0"/>
          <w:sz w:val="20"/>
          <w:u w:val="none"/>
          <w:vertAlign w:val="baseline"/>
        </w:rPr>
        <w:t xml:space="preserve"> The Secretary of Education has delegated authority to Jamienne S. Studley, Deputy Under Secretary, to perform the functions and duties of the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Jamienne S. Studley,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Deputy Under Secretary.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2015-08324 Filed 4-9-15;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10,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ANNH Program is authorized under section 317 of the Higher Education Act of 1965, as amended (HEA), to provide grants to eligible institutions of higher education (IHEs) to enable them to improve and expand their capacity to serve Alaska Natives and Native Hawaiians. Institutions may use these grants to plan, develop, or implement activities that strengthen the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We encourage applicants to read carefully the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section of this notice. Consistent with the Department's increasing emphasis in recent years on promoting evidence-based practices through our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Secretary will evaluate applications on the extent to which the proposed project is supported by a logic model that meets the evidence standard of "strong theory" (as defined in this notice). Resources to assist applicants in creating a logic model can be found here: </w:t>
      </w:r>
      <w:hyperlink r:id="rId13" w:history="1">
        <w:r>
          <w:rPr>
            <w:rFonts w:ascii="arial" w:eastAsia="arial" w:hAnsi="arial" w:cs="arial"/>
            <w:b w:val="0"/>
            <w:i/>
            <w:strike w:val="0"/>
            <w:noProof w:val="0"/>
            <w:color w:val="0077CC"/>
            <w:position w:val="0"/>
            <w:sz w:val="20"/>
            <w:u w:val="single"/>
            <w:vertAlign w:val="baseline"/>
          </w:rPr>
          <w:t>http://ies.ed.gov/ncee/edlabs/regions/pacific/pdf/REL_2014007.pdf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[*19299]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absolute priority,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The absolute priority is from the Department's notice of final supplemental priorities and definitions for discretionary grant programs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4"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is from section 320(c)(2)(H) of the HEA.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is from the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increase the number and proportion of high-need students (as defined in this notice) who are academically prepared for, enroll in, or complete on time college, other postsecondary education, or other career and technical education.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75.105(c)(2)(i), we award an application up to three additional points for each priority, for a total of up to six additional points, depending on how well the application meets each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(up to three additional points)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Academic tutoring and counseling programs and student support services.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(up to three additional points)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that are designed to leverage technology through implementing high-quality, accessible online courses, online learning communities, or online simulations, such as those for which educators could earn professional development credit or continuing education units through digital credentials (as defined in this notice) based on demonstrated mastery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performance-based outcomes, instead of traditional time-based metrics.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34 CFR 75.105(c)(1),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support activities that strengthen Native language preservation and revitalization.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the Supplemental Priorities and from 34 CFR 77.1 and apply to the priorities and selection criteria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Digital credentials</w:t>
      </w:r>
      <w:r>
        <w:rPr>
          <w:rFonts w:ascii="arial" w:eastAsia="arial" w:hAnsi="arial" w:cs="arial"/>
          <w:b w:val="0"/>
          <w:i w:val="0"/>
          <w:strike w:val="0"/>
          <w:noProof w:val="0"/>
          <w:color w:val="000000"/>
          <w:position w:val="0"/>
          <w:sz w:val="20"/>
          <w:u w:val="none"/>
          <w:vertAlign w:val="baseline"/>
        </w:rPr>
        <w:t xml:space="preserve"> means evidence of mastery of 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or performance-based abilities, provided in digital rather than physical medium (such as through digital badges). These digital credentials may then be used to supplement or satisfy continuing education or professional development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which must define the term in a manner consistent with its State's Teacher Equity Plan, as required by section 1111(b)(8)(C) of the Elementary and Secondary Education Act of 1965. The applicant must provide the definition(s) of high-minority schools used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otherwise in need of special assistance and support, such as students who are living in poverty, who attend high-minority schools,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active "ingredients" that are hypothesized to be critical to achieving the relevant outcomes) and describes the relationships among the key components and outcomes, theoretically and operationally.</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developing logic models, applicants may want to use resources such as the Pacific Education Laboratory's Education Logic Model Application (</w:t>
      </w:r>
      <w:hyperlink r:id="rId15" w:history="1">
        <w:r>
          <w:rPr>
            <w:rFonts w:ascii="arial" w:eastAsia="arial" w:hAnsi="arial" w:cs="arial"/>
            <w:b w:val="0"/>
            <w:i/>
            <w:strike w:val="0"/>
            <w:noProof w:val="0"/>
            <w:color w:val="0077CC"/>
            <w:position w:val="0"/>
            <w:sz w:val="20"/>
            <w:u w:val="single"/>
            <w:vertAlign w:val="baseline"/>
          </w:rPr>
          <w:t>www.relpacific.mcrel.org/PERR.html</w:t>
        </w:r>
      </w:hyperlink>
      <w:r>
        <w:rPr>
          <w:rFonts w:ascii="arial" w:eastAsia="arial" w:hAnsi="arial" w:cs="arial"/>
          <w:b w:val="0"/>
          <w:i w:val="0"/>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vertAlign w:val="baseline"/>
          </w:rPr>
          <w:t>http://files.eric.ed.gov/fulltext/ED544779.pdf</w:t>
        </w:r>
      </w:hyperlink>
      <w:r>
        <w:rPr>
          <w:rFonts w:ascii="arial" w:eastAsia="arial" w:hAnsi="arial" w:cs="arial"/>
          <w:b w:val="0"/>
          <w:i w:val="0"/>
          <w:strike w:val="0"/>
          <w:noProof w:val="0"/>
          <w:color w:val="000000"/>
          <w:position w:val="0"/>
          <w:sz w:val="20"/>
          <w:u w:val="none"/>
          <w:vertAlign w:val="baseline"/>
        </w:rPr>
        <w:t>) to help design their logic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credential, certificate of attendance, or any alternative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vertAlign w:val="baseline"/>
          </w:rPr>
          <w:t>20 U.S.C. 1059d.</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607. (e)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grants--Individual Development Grants and Cooperative Arrangement Development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$ 10,535,000.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Development Grants: $ 600,000-$ 800,000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Cooperative Arrangement Development Grants: $ 600,000-$ 900,000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Development Grants: $ 686,000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Cooperative Arrangement Development Grants: $ 800,000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for an Individual Development Grant that proposes a budget exceeding $ 800,000 for a single budget period of 12 months and we will reject any application for a Cooperative Arrangement Development Grant that proposes a budget exceeding $ 900,000 for a single budget period of 12 months. The Assistant Secretary for Postsecondary Education may change the maximum amounts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16-17.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 </w:t>
      </w:r>
      <w:r>
        <w:rPr>
          <w:rFonts w:ascii="arial" w:eastAsia="arial" w:hAnsi="arial" w:cs="arial"/>
          <w:b/>
          <w:i w:val="0"/>
          <w:strike w:val="0"/>
          <w:noProof w:val="0"/>
          <w:color w:val="000000"/>
          <w:position w:val="0"/>
          <w:sz w:val="20"/>
          <w:u w:val="none"/>
          <w:vertAlign w:val="baseline"/>
        </w:rPr>
        <w:t> [*19300]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 An IHE is eligible to receive funds under the ANNH Program if it qualifies as an Alaska Native or Native Hawaiian-Serving Institution. At the time of application: An Alaska Native-Serving Institution must have an enrollment of undergraduate students that is at least 20 percent Alaska Native (34 CFR 607.2(e)); and a Native Hawaiian-Serving Institution must have an enrollment of undergraduate students that is at least 10 percent Native Hawaiian (34 CFR 607.2(f)).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as an eligible institution under the ANNH Program, an institution must also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Accredited or preaccredited by a nationally recognized accrediting agency or association that the Secretary has determined to be a reliable authority as to the quality of education or training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Legally authorized by the State in which it is located to be a junior or community college or to provide an educational program for which it awards a bachelor's degree;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Designated as an "eligible institution" by demonstrating that it has: (A) An enrollment of needy students as described in 34 CFR 607.3; and (B) has low average educational and general expenditures per full-time equivalent (FTE) undergraduate student, as described in 34 CFR 607.4.</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notice for applying for designation as an eligible institution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3, 2014 </w:t>
      </w:r>
      <w:hyperlink r:id="rId18" w:history="1">
        <w:r>
          <w:rPr>
            <w:rFonts w:ascii="arial" w:eastAsia="arial" w:hAnsi="arial" w:cs="arial"/>
            <w:b w:val="0"/>
            <w:i/>
            <w:strike w:val="0"/>
            <w:noProof w:val="0"/>
            <w:color w:val="0077CC"/>
            <w:position w:val="0"/>
            <w:sz w:val="20"/>
            <w:u w:val="single"/>
            <w:vertAlign w:val="baseline"/>
          </w:rPr>
          <w:t>(79 FR 65197)</w:t>
        </w:r>
      </w:hyperlink>
      <w:r>
        <w:rPr>
          <w:rFonts w:ascii="arial" w:eastAsia="arial" w:hAnsi="arial" w:cs="arial"/>
          <w:b w:val="0"/>
          <w:i w:val="0"/>
          <w:strike w:val="0"/>
          <w:noProof w:val="0"/>
          <w:color w:val="000000"/>
          <w:position w:val="0"/>
          <w:sz w:val="20"/>
          <w:u w:val="none"/>
          <w:vertAlign w:val="baseline"/>
        </w:rPr>
        <w:t xml:space="preserve"> and applications were due on December 22, 2014. Only institutions that submitted applications by the deadline date and that the Department determined are eligible may apply for a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grantee under the Developing Hispanic-Serving Institutions (HSI) Program, which is authorized under title V, part A of the HEA, may not receive a grant under any HEA, title III, part A program, including the ANNH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current grantee under the Strengthening Institutions Program (SIP), Asian American and Native American Pacific Islander-Serving Institutions (AANAPISI) Program, Native American-Serving Nontribal Institutions (NASNTI) Program, and the ANNH Program authorized by section 317 of the HEA may not receive a grant authorized under any other title III, part 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current grantee under the AANAPISI, NASNTI, Hispanic Serving Institutions-STEM and Articulation (HSI-STEM), Predominantly Black Institutions (PBI), and the ANNH programs authorized by title III, part F, section 371 of the HEA, may receive a grant authorized under any title III, part 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An eligible IHE that submits applications for an Individual Development Grant and a Cooperative Arrangement Development Grant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awarded both in the same fiscal year. However, we will not award a second Cooperative Arrangement Development Grant to an otherwise eligible IHE for an award year for which the IHE already has a Cooperative Arrangement Development Grant award under the ANNH Program. A grantee with an Individual Development Grant or a Cooperative Arrangement Development Grant may be a subgrantee in one or more Cooperative Arrangement Development Grants. The lead institution in a Cooperative Arrangement Development Grant must be an eligible institution. Partners or subgrantees are not required to be eligible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 Grant funds must be used to supplement and, to the extent practical, increase the funds that would otherwise be available for the activities to be carried out under the grant and in no case supplant those funds (34 CFR 607.30 (b)).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via the Internet using the following address: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If you do not have access to the Internet, please contact Bora Mpinja, for CFDA number 84.031N, or Robyn Wood, for CFDA number 84.031W, U.S. Department of Education, 1990 K Street NW., 6th floor, Washington, DC 20006-8513. You may contact these individuals at the following email addresses or telephone numbers: </w:t>
      </w:r>
      <w:hyperlink r:id="rId8" w:history="1">
        <w:r>
          <w:rPr>
            <w:rFonts w:ascii="arial" w:eastAsia="arial" w:hAnsi="arial" w:cs="arial"/>
            <w:b w:val="0"/>
            <w:i/>
            <w:strike w:val="0"/>
            <w:noProof w:val="0"/>
            <w:color w:val="0077CC"/>
            <w:position w:val="0"/>
            <w:sz w:val="20"/>
            <w:u w:val="single"/>
            <w:vertAlign w:val="baseline"/>
          </w:rPr>
          <w:t>Bora.Mpinja@ed.gov</w:t>
        </w:r>
      </w:hyperlink>
      <w:r>
        <w:rPr>
          <w:rFonts w:ascii="arial" w:eastAsia="arial" w:hAnsi="arial" w:cs="arial"/>
          <w:b w:val="0"/>
          <w:i w:val="0"/>
          <w:strike w:val="0"/>
          <w:noProof w:val="0"/>
          <w:color w:val="000000"/>
          <w:position w:val="0"/>
          <w:sz w:val="20"/>
          <w:u w:val="none"/>
          <w:vertAlign w:val="baseline"/>
        </w:rPr>
        <w:t xml:space="preserve">; (202) 502-7629; </w:t>
      </w:r>
      <w:hyperlink r:id="rId9" w:history="1">
        <w:r>
          <w:rPr>
            <w:rFonts w:ascii="arial" w:eastAsia="arial" w:hAnsi="arial" w:cs="arial"/>
            <w:b w:val="0"/>
            <w:i/>
            <w:strike w:val="0"/>
            <w:noProof w:val="0"/>
            <w:color w:val="0077CC"/>
            <w:position w:val="0"/>
            <w:sz w:val="20"/>
            <w:u w:val="single"/>
            <w:vertAlign w:val="baseline"/>
          </w:rPr>
          <w:t>Robyn.Wood@ed.gov</w:t>
        </w:r>
      </w:hyperlink>
      <w:r>
        <w:rPr>
          <w:rFonts w:ascii="arial" w:eastAsia="arial" w:hAnsi="arial" w:cs="arial"/>
          <w:b w:val="0"/>
          <w:i w:val="0"/>
          <w:strike w:val="0"/>
          <w:noProof w:val="0"/>
          <w:color w:val="000000"/>
          <w:position w:val="0"/>
          <w:sz w:val="20"/>
          <w:u w:val="none"/>
          <w:vertAlign w:val="baseline"/>
        </w:rPr>
        <w:t>; (202) 502-7437.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braille, large print, audiotape, or compact disc) by contacting the applicable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Page Limits: The application narrative (Part III of the application) is where you, the applicant, address the selection criteria, the absolute priority,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the invitational priority that reviewers use to evaluate your application. We have established mandatory page limits for Individual Development Grant and Cooperative Arrangement Development Grant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limit the section of the application narrative that addresses: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criteria to no more than 50 pages for an Individual Development Grant and 70 pages for a Cooperative Arrangement Grant.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absolute priority to no more than three pages.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if you are addressing one or both, to no more than three pages (for a total of six pages if you address both).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invitational priority to no more than two pages, if you address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under no circumstances may the application narrative exceed 61 pages for the Development Grant and 81 pages for the Cooperative Arrangement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address the priorities in the section of the application narrative titled "Other" and include a separate heading for the absolute priority and for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invitational priority that you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determining compliance with the page limits, each page on which there are words will be counted as one full page. Applicants must use the following standards: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except titles, headings, footnotes, quotations, references, and captions and all text in charts, tables, figures, and graphs. These items may be single spaced. Charts, tables, figures, and graphs in the application narrative count toward the page limit.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However, you may use a 10-point font in charts, tables, figures, graphs, footnotes, and endnotes.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one of the following fonts: Times New Roman, Courier, Courier New, or Arial. An application submitted in any other font (including Times </w:t>
      </w:r>
      <w:r>
        <w:rPr>
          <w:rFonts w:ascii="arial" w:eastAsia="arial" w:hAnsi="arial" w:cs="arial"/>
          <w:b/>
          <w:i w:val="0"/>
          <w:strike w:val="0"/>
          <w:noProof w:val="0"/>
          <w:color w:val="000000"/>
          <w:position w:val="0"/>
          <w:sz w:val="20"/>
          <w:u w:val="none"/>
          <w:vertAlign w:val="baseline"/>
        </w:rPr>
        <w:t> [*19301] </w:t>
      </w:r>
      <w:r>
        <w:rPr>
          <w:rFonts w:ascii="arial" w:eastAsia="arial" w:hAnsi="arial" w:cs="arial"/>
          <w:b w:val="0"/>
          <w:i w:val="0"/>
          <w:strike w:val="0"/>
          <w:noProof w:val="0"/>
          <w:color w:val="000000"/>
          <w:position w:val="0"/>
          <w:sz w:val="20"/>
          <w:u w:val="none"/>
          <w:vertAlign w:val="baseline"/>
        </w:rPr>
        <w:t xml:space="preserve"> Roman and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page limit applies to all of the application narrative section, including your complete response to the selection criteria (including the budget narrative), the absolute priority,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the invitational priority. However, the page limit does not apply to Part I, the Application for Federal Assistance (SF 424); the Supplemental Information for SF 424 Form; Part II, the Budget section and the Budget Information--Non-Construction Programs (ED 524); Part IV, the assurances and certifications; or the one-page program abstract, the resumes, the bibliography, or the letters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include any attachments or appendices not specifically requested in the application package, these items will be counted as part of the application narrative for the purpose of the page-limit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one of the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We specify unallowable costs in 34 CFR 607.30. 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Applicability of Executive Order 13202</w:t>
      </w:r>
      <w:r>
        <w:rPr>
          <w:rFonts w:ascii="arial" w:eastAsia="arial" w:hAnsi="arial" w:cs="arial"/>
          <w:b w:val="0"/>
          <w:i w:val="0"/>
          <w:strike w:val="0"/>
          <w:noProof w:val="0"/>
          <w:color w:val="000000"/>
          <w:position w:val="0"/>
          <w:sz w:val="20"/>
          <w:u w:val="none"/>
          <w:vertAlign w:val="baseline"/>
        </w:rPr>
        <w:t>. Applicants that apply for construction funds under the title III, part A, HEA programs must comply with Executive Order 13202, as amended on April 6, 2001. This Executive order provides that recipients of Federal construction funds may not "require or prohibit bidders, offerors, contractors, or subcontractors to enter into or adhere to agreements with one or more labor organizations, on the same or other construction project(s)" or "otherwise discriminate against bidders, offerors, contractors, or subcontractors for becoming or refusing to become or remain signatories or otherwise to adhere to agreements with one or more labor organizations, on the same or other related construction project(s)." However, the Executive order does not prohibit contractors or subcontractors from voluntarily entering into these agreements. Projects funded under these programs that include construction activity will be provided a copy of this Executive order and will be asked to certify that they will adhere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0"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1"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2"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Alaska Native-Serving Institutions Program (CFDA number 84.031N) and the Native Hawaiian-Serving Institutions Program (CFDA number 84.031W) must be submitted electronically using the Governmentwide Grants.gov Apply site at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w:t>
      </w:r>
      <w:r>
        <w:rPr>
          <w:rFonts w:ascii="arial" w:eastAsia="arial" w:hAnsi="arial" w:cs="arial"/>
          <w:b/>
          <w:i w:val="0"/>
          <w:strike w:val="0"/>
          <w:noProof w:val="0"/>
          <w:color w:val="000000"/>
          <w:position w:val="0"/>
          <w:sz w:val="20"/>
          <w:u w:val="none"/>
          <w:vertAlign w:val="baseline"/>
        </w:rPr>
        <w:t> [*19302] </w:t>
      </w:r>
      <w:r>
        <w:rPr>
          <w:rFonts w:ascii="arial" w:eastAsia="arial" w:hAnsi="arial" w:cs="arial"/>
          <w:b w:val="0"/>
          <w:i w:val="0"/>
          <w:strike w:val="0"/>
          <w:noProof w:val="0"/>
          <w:color w:val="000000"/>
          <w:position w:val="0"/>
          <w:sz w:val="20"/>
          <w:u w:val="none"/>
          <w:vertAlign w:val="baseline"/>
        </w:rPr>
        <w:t xml:space="preserve">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84.031, not 84.031N).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3"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one of the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 </w:t>
      </w:r>
      <w:r>
        <w:rPr>
          <w:rFonts w:ascii="arial" w:eastAsia="arial" w:hAnsi="arial" w:cs="arial"/>
          <w:b/>
          <w:i w:val="0"/>
          <w:strike w:val="0"/>
          <w:noProof w:val="0"/>
          <w:color w:val="000000"/>
          <w:position w:val="0"/>
          <w:sz w:val="20"/>
          <w:u w:val="none"/>
          <w:vertAlign w:val="baseline"/>
        </w:rPr>
        <w:t> [*19303]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Bora Mpinja, for CFDA number 84.031N, or Robyn Wood, for CFDA number 84.031W, U.S. Department of Education, 1990 K Street NW., 6th floor, Washington, DC 20006-8513. FAX: (202) 502-7861.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84.031N or 84.031W),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84.031N or 84.031W),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following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607.22(a) through (g) and 34 CFR 75.210. We will award up to 100 points to an application under the selection criteria; the total possible points for each selection criterion is noted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applicant's comprehensive development plan.</w:t>
      </w:r>
      <w:r>
        <w:rPr>
          <w:rFonts w:ascii="arial" w:eastAsia="arial" w:hAnsi="arial" w:cs="arial"/>
          <w:b w:val="0"/>
          <w:i w:val="0"/>
          <w:strike w:val="0"/>
          <w:noProof w:val="0"/>
          <w:color w:val="000000"/>
          <w:position w:val="0"/>
          <w:sz w:val="20"/>
          <w:u w:val="none"/>
          <w:vertAlign w:val="baseline"/>
        </w:rPr>
        <w:t xml:space="preserve"> (Maximum 20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strengths, weaknesses, and significant problems of the institution's academic programs, institutional management, and fiscal stability are clearly and comprehensively analyzed and result from a process that involved major constituencies of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goals for the institution's academic programs, institutional management, and fiscal stability are realistic and based on comprehensive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objectives stated in the plan are measurable, related to institutional goals, and, if achieved, will contribute to the growth and self-sufficiency of the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plan clearly and comprehensively describes the methods and resources the institution will use to institutionalize practice and improvements developed under the proposed project, including, in particular, how operational costs for personnel, maintenance, and upgrades of equipment will be paid with institutional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activity objectives.</w:t>
      </w:r>
      <w:r>
        <w:rPr>
          <w:rFonts w:ascii="arial" w:eastAsia="arial" w:hAnsi="arial" w:cs="arial"/>
          <w:b w:val="0"/>
          <w:i w:val="0"/>
          <w:strike w:val="0"/>
          <w:noProof w:val="0"/>
          <w:color w:val="000000"/>
          <w:position w:val="0"/>
          <w:sz w:val="20"/>
          <w:u w:val="none"/>
          <w:vertAlign w:val="baseline"/>
        </w:rPr>
        <w:t xml:space="preserve"> (Maximum 15 points) The extent to which the objectives for each activity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Realistic and defined in terms of measurable results;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Directly related to the problems to be solved and to the goals of the comprehensive development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implementation strategy.</w:t>
      </w:r>
      <w:r>
        <w:rPr>
          <w:rFonts w:ascii="arial" w:eastAsia="arial" w:hAnsi="arial" w:cs="arial"/>
          <w:b w:val="0"/>
          <w:i w:val="0"/>
          <w:strike w:val="0"/>
          <w:noProof w:val="0"/>
          <w:color w:val="000000"/>
          <w:position w:val="0"/>
          <w:sz w:val="20"/>
          <w:u w:val="none"/>
          <w:vertAlign w:val="baseline"/>
        </w:rPr>
        <w:t xml:space="preserve"> (Maximum 20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implementation strategy for each activity is comprehensive;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rationale for the implementation strategy for each activity is clearly described and is supported by the results of relevant studies or projects;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timetable for each activity is realistic and likely to be attained.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key personnel.</w:t>
      </w:r>
      <w:r>
        <w:rPr>
          <w:rFonts w:ascii="arial" w:eastAsia="arial" w:hAnsi="arial" w:cs="arial"/>
          <w:b w:val="0"/>
          <w:i w:val="0"/>
          <w:strike w:val="0"/>
          <w:noProof w:val="0"/>
          <w:color w:val="000000"/>
          <w:position w:val="0"/>
          <w:sz w:val="20"/>
          <w:u w:val="none"/>
          <w:vertAlign w:val="baseline"/>
        </w:rPr>
        <w:t xml:space="preserve"> (Maximum 7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past experience and training of key professional personnel are directly related to the stated activity objectives;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time commitment of key personnel is 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project management plan.</w:t>
      </w:r>
      <w:r>
        <w:rPr>
          <w:rFonts w:ascii="arial" w:eastAsia="arial" w:hAnsi="arial" w:cs="arial"/>
          <w:b w:val="0"/>
          <w:i w:val="0"/>
          <w:strike w:val="0"/>
          <w:noProof w:val="0"/>
          <w:color w:val="000000"/>
          <w:position w:val="0"/>
          <w:sz w:val="20"/>
          <w:u w:val="none"/>
          <w:vertAlign w:val="baseline"/>
        </w:rPr>
        <w:t xml:space="preserve"> (Maximum 10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Procedures for managing the project are likely to ensure efficient and effective project implementation;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project coordinator and activity directors have sufficient authority to conduct the project effectively, including access to the president or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evaluation plan.</w:t>
      </w:r>
      <w:r>
        <w:rPr>
          <w:rFonts w:ascii="arial" w:eastAsia="arial" w:hAnsi="arial" w:cs="arial"/>
          <w:b w:val="0"/>
          <w:i w:val="0"/>
          <w:strike w:val="0"/>
          <w:noProof w:val="0"/>
          <w:color w:val="000000"/>
          <w:position w:val="0"/>
          <w:sz w:val="20"/>
          <w:u w:val="none"/>
          <w:vertAlign w:val="baseline"/>
        </w:rPr>
        <w:t xml:space="preserve"> (Maximum 15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data elements and the data collection procedures are clearly described and appropriate to measure the attainment of activity objectives and to measure the success of the project in achieving the goals of the comprehensive development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data analysis procedures are clearly described and are likely to produce formative and summative results on attaining activity objectives and measuring the success of the project on achieving the goals of the comprehensive development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Budget.</w:t>
      </w:r>
      <w:r>
        <w:rPr>
          <w:rFonts w:ascii="arial" w:eastAsia="arial" w:hAnsi="arial" w:cs="arial"/>
          <w:b w:val="0"/>
          <w:i w:val="0"/>
          <w:strike w:val="0"/>
          <w:noProof w:val="0"/>
          <w:color w:val="000000"/>
          <w:position w:val="0"/>
          <w:sz w:val="20"/>
          <w:u w:val="none"/>
          <w:vertAlign w:val="baseline"/>
        </w:rPr>
        <w:t xml:space="preserve"> (Maximum 8 points) The extent to which the proposed costs are necessary and reasonable in relation to the project's objectives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(Maximum 5 points) The Secretary considers the quality of the design of the proposed project. In determining the quality of the design of the proposed project, the Secretary considers the extent to which the proposed project is supported by strong theory (as defined in this notice). </w:t>
      </w:r>
      <w:r>
        <w:rPr>
          <w:rFonts w:ascii="arial" w:eastAsia="arial" w:hAnsi="arial" w:cs="arial"/>
          <w:b/>
          <w:i w:val="0"/>
          <w:strike w:val="0"/>
          <w:noProof w:val="0"/>
          <w:color w:val="000000"/>
          <w:position w:val="0"/>
          <w:sz w:val="20"/>
          <w:u w:val="none"/>
          <w:vertAlign w:val="baseline"/>
        </w:rPr>
        <w:t> [*19304]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Awards will be made in rank order according to the average score received from a panel of three non-Federal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Tie-breaker.</w:t>
      </w:r>
      <w:r>
        <w:rPr>
          <w:rFonts w:ascii="arial" w:eastAsia="arial" w:hAnsi="arial" w:cs="arial"/>
          <w:b w:val="0"/>
          <w:i w:val="0"/>
          <w:strike w:val="0"/>
          <w:noProof w:val="0"/>
          <w:color w:val="000000"/>
          <w:position w:val="0"/>
          <w:sz w:val="20"/>
          <w:u w:val="none"/>
          <w:vertAlign w:val="baseline"/>
        </w:rPr>
        <w:t xml:space="preserve"> In tie-breaking situations, we award one additional point to an application from an IHE that has an endowment fund of which the current market value, per FTE enrolled student, is less than the average current market value of the endowment funds, per FTE enrolled student, at comparable institutions that offer similar instruction. We also award one additional point to an application from an IHE that has expenditures for library materials per FTE enrolled student that are less than the average expenditures for library materials per FTE enrolled student at comparable institutions that offer similar instruction. We also award one additional point to an application from an IHE that proposes to carry out one or more of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Faculty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Funds and administrative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Development and improvement of academic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Acquisition of equipment for use in strengthening management and academic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Joint use of facilities;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Student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these funding considerations, we use 2012-2013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tie remains after applying the tie-breaker mechanism above, priority will be given in the case of applicants for: (a) Individual Development Grants, to applicants that have the lowest endowment values per FTE student; and (b) Cooperative Arrangement Development Grants, to applicants in accordance with section 394(b) of the HEA, if the Secretary determines that the cooperative arrangement is geographically and economically sound or will benefit the applicant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also notify you informally.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and 34 CFR 607.31. The Secretary may also require more frequent performance reports under 34 CFR 75.720(c). For specific requirements on reporting, please go to </w:t>
      </w:r>
      <w:hyperlink r:id="rId24"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Secretary has established the following key performance measures for assessing the effectiveness of the ANNH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percentage change, over the five-year period, of the number of full-time degree-seeking undergraduates enrolled at Alaska Native and Native Hawaiian-Serving Institutions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is a long-term measure, which will be used to periodically gauge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percentage of first-time, full-time degree-seeking undergraduate students at four-year Alaska Native and Native Hawaiian-Serving Institutions who were in their first year of postsecondary enrollment in the previous year and are enrolled in the current year at the same Alaska Native and Native Hawaiian-Serving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percentage of first-time, full-time degree-seeking undergraduate students at two-year Alaska Native and Native Hawaiian-Serving Institutions who were in their first year of postsecondary enrollment in the previous year and are enrolled in the current year at the same Alaska Native and Native Hawaiian-Serving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percentage of first-time, full-time degree-seeking undergraduate students enrolled at four-year Alaska Native and Native Hawaiian-Serving Institutions who graduate within six years of enrollment;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percentage of first-time, full-time degree seeking undergraduate students enrolled at two-year Alaska Native and Native Hawaiian-Serving Institutions who graduate within three years of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 </w:t>
      </w:r>
      <w:r>
        <w:rPr>
          <w:rFonts w:ascii="arial" w:eastAsia="arial" w:hAnsi="arial" w:cs="arial"/>
          <w:b/>
          <w:i w:val="0"/>
          <w:strike w:val="0"/>
          <w:noProof w:val="0"/>
          <w:color w:val="000000"/>
          <w:position w:val="0"/>
          <w:sz w:val="20"/>
          <w:u w:val="none"/>
          <w:vertAlign w:val="baseline"/>
        </w:rPr>
        <w:t> [*19305]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Contacts</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Bora Mpinja, for CFDA number 84.031N, Robyn Wood, for CFDA number 84.031W, and Don Crews, U.S. Department of Education, 1990 K Street NW., 6th Floor, Washington, DC 20006-8513. You may contact these individuals at the following email addresses or telephone numbers: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19298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Don.Crews@ed.gov" TargetMode="External" /><Relationship Id="rId11" Type="http://schemas.openxmlformats.org/officeDocument/2006/relationships/hyperlink" Target="www.gpo.gov/fdsys" TargetMode="External" /><Relationship Id="rId12" Type="http://schemas.openxmlformats.org/officeDocument/2006/relationships/hyperlink" Target="www.federalregister.gov" TargetMode="External" /><Relationship Id="rId13" Type="http://schemas.openxmlformats.org/officeDocument/2006/relationships/hyperlink" Target="http://ies.ed.gov/ncee/edlabs/regions/pacific/pdf/REL_2014007.pdf" TargetMode="External" /><Relationship Id="rId14" Type="http://schemas.openxmlformats.org/officeDocument/2006/relationships/hyperlink" Target="https://advance.lexis.com/api/document?collection=administrative-codes&amp;id=urn:contentItem:5DT7-0130-006W-81YP-00000-00&amp;context=" TargetMode="External" /><Relationship Id="rId15" Type="http://schemas.openxmlformats.org/officeDocument/2006/relationships/hyperlink" Target="www.relpacific.mcrel.org/PERR.html" TargetMode="External" /><Relationship Id="rId16" Type="http://schemas.openxmlformats.org/officeDocument/2006/relationships/hyperlink" Target="http://files.eric.ed.gov/fulltext/ED544779.pdf" TargetMode="External" /><Relationship Id="rId17" Type="http://schemas.openxmlformats.org/officeDocument/2006/relationships/hyperlink" Target="https://advance.lexis.com/api/document?collection=statutes-legislation&amp;id=urn:contentItem:4YF7-GS01-NRF4-42X2-00000-00&amp;context=" TargetMode="External" /><Relationship Id="rId18" Type="http://schemas.openxmlformats.org/officeDocument/2006/relationships/hyperlink" Target="https://advance.lexis.com/api/document?collection=administrative-codes&amp;id=urn:contentItem:5DHB-0TG0-006W-83HD-00000-00&amp;context=" TargetMode="External" /><Relationship Id="rId19" Type="http://schemas.openxmlformats.org/officeDocument/2006/relationships/hyperlink" Target="www.Grants.gov" TargetMode="External" /><Relationship Id="rId2" Type="http://schemas.openxmlformats.org/officeDocument/2006/relationships/webSettings" Target="webSettings.xml" /><Relationship Id="rId20" Type="http://schemas.openxmlformats.org/officeDocument/2006/relationships/hyperlink" Target="www.SAM.gov" TargetMode="External" /><Relationship Id="rId21" Type="http://schemas.openxmlformats.org/officeDocument/2006/relationships/hyperlink" Target="http://www2.ed.gov/fund/grant/apply/sam-faqs.html" TargetMode="External" /><Relationship Id="rId22" Type="http://schemas.openxmlformats.org/officeDocument/2006/relationships/hyperlink" Target="www.grants.gov/web/grants/register.html" TargetMode="External" /><Relationship Id="rId23" Type="http://schemas.openxmlformats.org/officeDocument/2006/relationships/hyperlink" Target="www.G5.gov" TargetMode="External" /><Relationship Id="rId24" Type="http://schemas.openxmlformats.org/officeDocument/2006/relationships/hyperlink" Target="www.ed.gov/fund/grant/apply/appforms/appforms.html" TargetMode="Externa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R1-9DG0-006W-84B6-00000-00&amp;context=" TargetMode="External" /><Relationship Id="rId8" Type="http://schemas.openxmlformats.org/officeDocument/2006/relationships/hyperlink" Target="mailto:Bora.Mpinja@ed.gov" TargetMode="External" /><Relationship Id="rId9" Type="http://schemas.openxmlformats.org/officeDocument/2006/relationships/hyperlink" Target="mailto:Robyn.Wood@ed.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73818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71568893</vt:lpwstr>
  </property>
  <property fmtid="{D5CDD505-2E9C-101B-9397-08002B2CF9AE}" pid="3" name="LADocCount">
    <vt:lpwstr>1</vt:lpwstr>
  </property>
  <property fmtid="{D5CDD505-2E9C-101B-9397-08002B2CF9AE}" pid="4" name="UserPermID">
    <vt:lpwstr>urn:user:PA185916758</vt:lpwstr>
  </property>
</Properties>
</file>