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2148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010, Thursday, January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2148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OpenBook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34-74027; File No. SR-NYSE-2014-76]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31, 2014,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OpenBook to: (1) Change the way the user fee is calculated and applied, operative on January 1, 2015; (2) establish eligibility requirements for redistribution on a managed non-display basis and an access fee for managed non-display data recipients, operative on January 1, 2015; and (3) increase the fee cap for redistributor internal support use, operative on March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OpenBook, n4 as set forth on the NYSE Proprietary Market Data Fee Schedule ("Fee Schedule"),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59544 (Mar. 9, 2009), </w:t>
      </w:r>
      <w:hyperlink r:id="rId12"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 16, 2009) (SR-NYSE-2008-131) and 62038 (May 5, 2010), </w:t>
      </w:r>
      <w:hyperlink r:id="rId13"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 ("Unit-of-Count Policy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Securities Exchange Act Release Nos. 69278 (Apr. 2, 2013), </w:t>
      </w:r>
      <w:hyperlink r:id="rId14"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(April 8, 2013) (SR-2013-25) and 72923 (Aug. 26, 2014), </w:t>
      </w:r>
      <w:hyperlink r:id="rId15"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("Non-Display Fee filings").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way the user fees are calculated and applied by eliminating the unit-of-count policy, operative on January 1, 2015;</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eligibility requirements for redistribution of market data on a Managed Non-Display basis and establish an access fee for Managed Non-Display data recipients, operative on January 1, 2015;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increase the fee cap for redistributor internal support use, operative on March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Method of Calculating and Applying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OpenBook data feed, the Fee Schedule sets forth a Professional User Fee of $ 60 per month or a Non-Professional User Fee of $ 15 per month. n5 These user fees generally apply to each display device that has access to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$ 25,000 per month cap on non-professional user fees applies to broker-dealers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and subscribers that are eligible for the Unit-of-Count Policy may avail themselves of an alternative method for counting how many user fees should be charged for display use of the NYSE OpenBook data feed. The Unit-of-Count Policy was first introduced as an NYSE OpenBook pilot in 2009. n6 Since April 2013, the Unit-of-Count Policy has applied only to user fees associated with display usage.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Unit-of-Count Policy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Existing customers approved for the Unit-of-Count Policy for display usage have continued to follow the Policy in anticipation of new display fees being implemented. </w:t>
      </w:r>
      <w:r>
        <w:rPr>
          <w:rFonts w:ascii="arial" w:eastAsia="arial" w:hAnsi="arial" w:cs="arial"/>
          <w:b/>
          <w:i w:val="0"/>
          <w:strike w:val="0"/>
          <w:noProof w:val="0"/>
          <w:color w:val="000000"/>
          <w:position w:val="0"/>
          <w:sz w:val="20"/>
          <w:u w:val="none"/>
          <w:vertAlign w:val="baseline"/>
        </w:rPr>
        <w:t> [*2149]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Unit-of-Count Policy for these subscribers is that a single user fee applies to individual users that receive multiple display device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devices displaying NYSE OpenBook, referred to as "netting." The Exchange proposes to retire the Unit-of-Count Policy effective January 1, 2015. As a result, as of January 1, 2015, subscribers that are currently eligible for "netting" under the Unit-of-Count Policy would pay the user fee for each display device that has access to NYSE OpenBook, even if a single user is receiving NYSE OpenBook over multiple devices, as well as all other applicable fees set forth on the Fee Schedule.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Unit-of-Count Policy is available for NYSE OpenBook, NYSE Trades and NYSE BBO as a method for counting users. The Exchange is proposing to retire the Unit-of-Count Policy with respect to all of these products and thereby harmonize the methods for counting users among all NYSE data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Managed Non-Display Services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market data means accessing, processing, or consuming NYSE market data delivered via direct and/or Redistributor n9 data feeds for a purpose other than in support of a data recipient's display or further internal or external redistribution. A Redistributor approved for Managed Non-Display Services manages and controls the access to NYSE OpenBook and does not allow for further internal distribution or external redistribution of NYSE OpenBook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"Redistributor" means a vendor or any other person that provides an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OpenBook through the Redistributor's Managed Non-Display Service. A data recipient receiving NYSE OpenBook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n10 In connection with the retirement of the Unit-of-Count Policy, eligibility for Managed Non-Display Services of NYSE Open Book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Open Book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Unit-of-Count Policy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OpenBook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OpenBook in the Redistributor's own messaging formats (rather than using raw NYSE message formats) by reformatting and/or altering NYSE OpenBook prior to retransmission without affecting the integrity of NYSE OpenBook and without rendering NYSE OpenBook inaccurate, unfair, uninformative, fictitious, misleading or discriminatory. The proposed eligibility requirements are similar to data distribution models currently in use and align the Exchange with other markets.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6"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the NASDAQ Stock Market ("NASDAQ")); and 69182 (Mar. 19, 2013), </w:t>
      </w:r>
      <w:hyperlink r:id="rId17"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OpenBook through the Redistributor's Managed Non-Display Service. A data recipient receiving NYSE OpenBook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$ 2,500/month applicable only to data recipients that receive NYSE OpenBook from an approved Redistributor of Managed Non-Display Services, operative January 1, 2015. Currently, data recipients are required to pay an Access Fee of $ 5,000/month to receive NYSE OpenBook, which has not been charged to data recipients of Managed Non-Display Services of NYSE OpenBook. Because the purpose of an access fee is to charge data recipients for access to the Exchange's proprietary market data, the Exchange believes it is appropriate to charge an access fee to all data recipients, including recipients of Managed Non-Display Services. n12 In recognition that data recipients of Managed Non-Display Services receive NYSE OpenBook in a controlled format, the Exchange proposes to establish an Access Fee that would be applicable only to data recipients of Managed Non-Display Services and that would be half the size of the current Access Fee. In connection with this change, the Exchange also proposes to amend the Fee Schedule to specify that the current Access Fee of $ 5,000/month is charged to data recipients other than those receiving data through Managed Non-Display Services. The proposed Managed Non-Display Access fee would be in addition to the current Managed Non-Display Services Fee of $ 2,400/month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order to harmonize its approach to fees for its market data products, the Exchange is proposing to establish an access fee for Managed Non-Display Services for NYSE BBO, NYSE Trades, and NYSE Order Imbalance t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SR-NYSE-2014-75 and SR-NYSE-2014-77.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Redistributor Internal Support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increase the Redistributor Support Fee Cap to $ 3,000/month, the equivalent of fees payable for 50 Professional Users per month, effective as of March 1, 2015, and to add the Redistributor Support Fee Cap to the Fee Schedule. This increases the fee cap from $ 1,500/month, as set by the Exchange in 2009.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59898 (May 11, 2009), </w:t>
      </w:r>
      <w:hyperlink r:id="rId18" w:history="1">
        <w:r>
          <w:rPr>
            <w:rFonts w:ascii="arial" w:eastAsia="arial" w:hAnsi="arial" w:cs="arial"/>
            <w:b w:val="0"/>
            <w:i/>
            <w:strike w:val="0"/>
            <w:noProof w:val="0"/>
            <w:color w:val="0077CC"/>
            <w:position w:val="0"/>
            <w:sz w:val="20"/>
            <w:u w:val="single"/>
            <w:vertAlign w:val="baseline"/>
          </w:rPr>
          <w:t>74 FR 22989</w:t>
        </w:r>
      </w:hyperlink>
      <w:r>
        <w:rPr>
          <w:rFonts w:ascii="arial" w:eastAsia="arial" w:hAnsi="arial" w:cs="arial"/>
          <w:b w:val="0"/>
          <w:i w:val="0"/>
          <w:strike w:val="0"/>
          <w:noProof w:val="0"/>
          <w:color w:val="000000"/>
          <w:position w:val="0"/>
          <w:sz w:val="20"/>
          <w:u w:val="none"/>
          <w:vertAlign w:val="baseline"/>
        </w:rPr>
        <w:t xml:space="preserve"> (May 14, 2009) (SR-NYSE-2009-37). One customer is currently paying the cap for Redistributor internal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cap on user fees would apply to a Redistributor's internal users who receive the NYSE OpenBook data feed and provide support to the Redistributor of the NYSE </w:t>
      </w:r>
      <w:r>
        <w:rPr>
          <w:rFonts w:ascii="arial" w:eastAsia="arial" w:hAnsi="arial" w:cs="arial"/>
          <w:b/>
          <w:i w:val="0"/>
          <w:strike w:val="0"/>
          <w:noProof w:val="0"/>
          <w:color w:val="000000"/>
          <w:position w:val="0"/>
          <w:sz w:val="20"/>
          <w:u w:val="none"/>
          <w:vertAlign w:val="baseline"/>
        </w:rPr>
        <w:t> [*2150] </w:t>
      </w:r>
      <w:r>
        <w:rPr>
          <w:rFonts w:ascii="arial" w:eastAsia="arial" w:hAnsi="arial" w:cs="arial"/>
          <w:b w:val="0"/>
          <w:i w:val="0"/>
          <w:strike w:val="0"/>
          <w:noProof w:val="0"/>
          <w:color w:val="000000"/>
          <w:position w:val="0"/>
          <w:sz w:val="20"/>
          <w:u w:val="none"/>
          <w:vertAlign w:val="baseline"/>
        </w:rPr>
        <w:t xml:space="preserve"> OpenBook data feed in the areas of customer service, data quality, development, software product management, product development, programming, technical operations, technical support, and sales. These internal users would be required to be located on the Redistributor's premises or to access NYSE OpenBook only on the Redistributor's platform. Internal users using NYSE OpenBook in connection with trading, investment advice, newsroom activities, research, algorithmic programming for trading systems, free trials/sales promotions, personal use, or to perform any other functions not related to the provision of support functions to the Redistributor's external customers would not be included in the Redistributor Support Fee Cap.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Global Data Policies, Oct. 10, 2014, </w:t>
      </w:r>
      <w:hyperlink r:id="rId19" w:history="1">
        <w:r>
          <w:rPr>
            <w:rFonts w:ascii="arial" w:eastAsia="arial" w:hAnsi="arial" w:cs="arial"/>
            <w:b w:val="0"/>
            <w:i/>
            <w:strike w:val="0"/>
            <w:noProof w:val="0"/>
            <w:color w:val="0077CC"/>
            <w:position w:val="0"/>
            <w:sz w:val="20"/>
            <w:u w:val="single"/>
            <w:vertAlign w:val="baseline"/>
          </w:rPr>
          <w:t>http://www.nasdaqtrader.com/content/AdministrationSupport/AgreementsData/datapolicies.pdf</w:t>
        </w:r>
      </w:hyperlink>
      <w:r>
        <w:rPr>
          <w:rFonts w:ascii="arial" w:eastAsia="arial" w:hAnsi="arial" w:cs="arial"/>
          <w:b w:val="0"/>
          <w:i w:val="0"/>
          <w:strike w:val="0"/>
          <w:noProof w:val="0"/>
          <w:color w:val="000000"/>
          <w:position w:val="0"/>
          <w:sz w:val="20"/>
          <w:u w:val="none"/>
          <w:vertAlign w:val="baseline"/>
        </w:rPr>
        <w:t xml:space="preserve"> (last visited Dec. 15, 2014), "Non-Billable: Internal Administrative Usage Policy," which establishes similar standards for internal administrative usage on a non-billable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Redistributors would have to request that their Professional User Fees related to such internal support functions be counted towards the Redistributor Support Fee Cap. To be eligible for the fee cap, a Redistributor would have to provide the Exchange with a list of all employees who would be reported as eligible internal users, and to include in the list the job functions of the employees and explanations of their use of NYSE OpenBook. The Exchange reserves the right under its contracts with Redistributors to monitor use closely and be provided with updated lists of employees, their job functions and their use of NYSE OpenBook, upon request. If an employee's use of NYSE OpenBook does not meet the requirements of internal support function described above, it would not be eligible for the Redistributor Support Fee Cap and would be charged a separate Professional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Redistributor Support Fee Cap would be operative March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n15 in general, and Sections 6(b)(4) and 6(b)(5) of the Act, n16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retire the Unit-of-Count Policy. First, as evidenced by the low number of eligible subscribers, the Unit-of-Count Policy is not currently considered useful to market data recipients as a method for counting users. In addition, as the Exchange noted in the 2013 Non-Display Filing, the Exchange determined at that time that its fee structure, which was based primarily on counting devices, both display and non-display, and included the Unit-of-Count Policy, was no longer appropriate in light of market and technology developments. In addition to implementing the non-display pricing to address the difficulties of counting non-display devices, and to reflect the value of non-display data to customers, the Exchange noted that it anticipated implementing a new display use fee structure later. Retiring the Unit-of-Count Policy, which now applies only to display use, would allow the Exchange to apply a consistent method for counting users among all customers using NYSE OpenBook, whether on a display or non-display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and technology developments. The NASDAQ and Phlx also both offer managed non-display data solutions and charge access fees for such services. n18 The fee is also equitable and not unfairly discriminatory because it would apply to all data recipients that choose to subscribe to Managed Non-Display Services for NYSE OpenBook.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 NASDAQ offers a Managed Data Solution that assesses a monthly Managed Data Solution Administration fee of $ 1,500 and monthly Subscriber fees of $ 60 for non-professionals to $ 300 for professionals. See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16"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 is reasonable to raise the Redistributor Support Fee Cap. The purpose of the Professional User Fee is to charge for each use of NYSE OpenBook data feed. The Exchange believes it is appropriate to charge user fees for employees who provide internal support functions at Redistributors because the business model of Redistributors is distributing data, and as a related function, providing support functions for such distribution of data. Accordingly, the internal support functions at a Redistributor contribute to the value that such Redistributors provide to their own customers, and are therefore an integral part of a Redistributor's business model. While such internal use is a value to a Redistributor and its customers, the Exchange recognizes that internal support functions differ from other uses of NYSE OpenBook, which is why the Exchange provides for a Redistributor Support Fee Cap. The Exchange believes it is reasonable to increase the fee cap to reflect the value that such support functions serve within a Redistributor. While the NYSE anticipates that only the largest vendors would devote sufficient personnel to administrative functions to take advantage of the proposed increased fee cap, in the Exchange's view, limiting the fee exposure of its largest vendors does not unreasonably discriminate against other vendors under Section 603(a)(2)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OpenBook is entirely optional. The Exchange is not required to make NYSE OpenBook available or to offer any specific pricing alternatives to any customers, nor is any firm required to purchase NYSE OpenBook. Firms that do purchase NYSE OpenBook do so for the primary goals of using it to increase revenues, reduce expenses, and in some </w:t>
      </w:r>
      <w:r>
        <w:rPr>
          <w:rFonts w:ascii="arial" w:eastAsia="arial" w:hAnsi="arial" w:cs="arial"/>
          <w:b/>
          <w:i w:val="0"/>
          <w:strike w:val="0"/>
          <w:noProof w:val="0"/>
          <w:color w:val="000000"/>
          <w:position w:val="0"/>
          <w:sz w:val="20"/>
          <w:u w:val="none"/>
          <w:vertAlign w:val="baseline"/>
        </w:rPr>
        <w:t> [*2151] </w:t>
      </w:r>
      <w:r>
        <w:rPr>
          <w:rFonts w:ascii="arial" w:eastAsia="arial" w:hAnsi="arial" w:cs="arial"/>
          <w:b w:val="0"/>
          <w:i w:val="0"/>
          <w:strike w:val="0"/>
          <w:noProof w:val="0"/>
          <w:color w:val="000000"/>
          <w:position w:val="0"/>
          <w:sz w:val="20"/>
          <w:u w:val="none"/>
          <w:vertAlign w:val="baseline"/>
        </w:rPr>
        <w:t xml:space="preserv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OpenBook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OpenBook at the new prices have a variety of alternative market data products from which to choose, n19 or if NYSE OpenBook does not provide sufficient value to firms as offered based on the uses those firms have or planned to make of it, such firms may simply choose to conduct their business operations in ways that do not use NYSE OpenBook. The Exchange notes that broker-dealers are not required to purchase proprietary market data to comply with their best execution obligations. n20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alternative trading systems ("ATSs") have chosen not to do so.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1"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3"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3"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4"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w:t>
      </w:r>
      <w:r>
        <w:rPr>
          <w:rFonts w:ascii="arial" w:eastAsia="arial" w:hAnsi="arial" w:cs="arial"/>
          <w:b/>
          <w:i w:val="0"/>
          <w:strike w:val="0"/>
          <w:noProof w:val="0"/>
          <w:color w:val="000000"/>
          <w:position w:val="0"/>
          <w:sz w:val="20"/>
          <w:u w:val="none"/>
          <w:vertAlign w:val="baseline"/>
        </w:rPr>
        <w:t> [*2152] </w:t>
      </w:r>
      <w:r>
        <w:rPr>
          <w:rFonts w:ascii="arial" w:eastAsia="arial" w:hAnsi="arial" w:cs="arial"/>
          <w:b w:val="0"/>
          <w:i w:val="0"/>
          <w:strike w:val="0"/>
          <w:noProof w:val="0"/>
          <w:color w:val="000000"/>
          <w:position w:val="0"/>
          <w:sz w:val="20"/>
          <w:u w:val="none"/>
          <w:vertAlign w:val="baseline"/>
        </w:rPr>
        <w:t xml:space="preserve">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n25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Concept Release on Equity Market Structure, Securities Exchange Act Release No. 61358 (Jan. 14, 2010), </w:t>
      </w:r>
      <w:hyperlink r:id="rId26"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6"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OpenBook unless their customers request it, and customers will not elect to pay the proposed fees unless NYSE OpenBook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and NYSE's affiliates NYSE Arca, Inc. ("NYSE Arca")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n27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8"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9"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0"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w:t>
      </w:r>
      <w:r>
        <w:rPr>
          <w:rFonts w:ascii="arial" w:eastAsia="arial" w:hAnsi="arial" w:cs="arial"/>
          <w:b/>
          <w:i w:val="0"/>
          <w:strike w:val="0"/>
          <w:noProof w:val="0"/>
          <w:color w:val="000000"/>
          <w:position w:val="0"/>
          <w:sz w:val="20"/>
          <w:u w:val="none"/>
          <w:vertAlign w:val="baseline"/>
        </w:rPr>
        <w:t> [*2153] </w:t>
      </w:r>
      <w:r>
        <w:rPr>
          <w:rFonts w:ascii="arial" w:eastAsia="arial" w:hAnsi="arial" w:cs="arial"/>
          <w:b w:val="0"/>
          <w:i w:val="0"/>
          <w:strike w:val="0"/>
          <w:noProof w:val="0"/>
          <w:color w:val="000000"/>
          <w:position w:val="0"/>
          <w:sz w:val="20"/>
          <w:u w:val="none"/>
          <w:vertAlign w:val="baseline"/>
        </w:rPr>
        <w:t xml:space="preserve">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n30 Similarly, LavaFlow ECN provides market data to its subscribers at no charge. n31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"LavaFlow--ADF Migration," available at </w:t>
      </w:r>
      <w:hyperlink r:id="rId31"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OpenBook,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n34 of the Act and subparagraph (f)(2) of Rule 19b-4 n35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n36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persons are invited to submit written data, views, and </w:t>
      </w:r>
      <w:r>
        <w:rPr>
          <w:rFonts w:ascii="arial" w:eastAsia="arial" w:hAnsi="arial" w:cs="arial"/>
          <w:b/>
          <w:i w:val="0"/>
          <w:strike w:val="0"/>
          <w:noProof w:val="0"/>
          <w:color w:val="000000"/>
          <w:position w:val="0"/>
          <w:sz w:val="20"/>
          <w:u w:val="none"/>
          <w:vertAlign w:val="baseline"/>
        </w:rPr>
        <w:t> [*2154] </w:t>
      </w:r>
      <w:r>
        <w:rPr>
          <w:rFonts w:ascii="arial" w:eastAsia="arial" w:hAnsi="arial" w:cs="arial"/>
          <w:b w:val="0"/>
          <w:i w:val="0"/>
          <w:strike w:val="0"/>
          <w:noProof w:val="0"/>
          <w:color w:val="000000"/>
          <w:position w:val="0"/>
          <w:sz w:val="20"/>
          <w:u w:val="none"/>
          <w:vertAlign w:val="baseline"/>
        </w:rPr>
        <w:t xml:space="preserve">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SR-NYSE-2014-76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SR-NYSE-2014-76. This file number should be included on the subject line if email is used. To help the Commission process and review your comments more efficiently, please use only one method. The Commission will post all comments on the Commission's Internet Web site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Web site viewing and printing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SR-NYSE-2014-76 and should be submitted on or before February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3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2015-00530 Filed 1-14-15;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2148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4VV2-RND0-006W-82HV-00000-00&amp;context=" TargetMode="External" /><Relationship Id="rId13" Type="http://schemas.openxmlformats.org/officeDocument/2006/relationships/hyperlink" Target="https://advance.lexis.com/api/document?collection=administrative-codes&amp;id=urn:contentItem:502G-30S0-006W-83D6-00000-00&amp;context=" TargetMode="External" /><Relationship Id="rId14" Type="http://schemas.openxmlformats.org/officeDocument/2006/relationships/hyperlink" Target="https://advance.lexis.com/api/document?collection=administrative-codes&amp;id=urn:contentItem:584X-MSJ0-006W-83Y8-00000-00&amp;context=" TargetMode="External" /><Relationship Id="rId15" Type="http://schemas.openxmlformats.org/officeDocument/2006/relationships/hyperlink" Target="https://advance.lexis.com/api/document?collection=administrative-codes&amp;id=urn:contentItem:5D23-RDG0-006W-828R-00000-00&amp;context=" TargetMode="External" /><Relationship Id="rId16" Type="http://schemas.openxmlformats.org/officeDocument/2006/relationships/hyperlink" Target="https://advance.lexis.com/api/document?collection=administrative-codes&amp;id=urn:contentItem:59PF-BJS0-006W-8009-00000-00&amp;context=" TargetMode="External" /><Relationship Id="rId17" Type="http://schemas.openxmlformats.org/officeDocument/2006/relationships/hyperlink" Target="https://advance.lexis.com/api/document?collection=administrative-codes&amp;id=urn:contentItem:5825-3C80-006W-82F2-00000-00&amp;context=" TargetMode="External" /><Relationship Id="rId18" Type="http://schemas.openxmlformats.org/officeDocument/2006/relationships/hyperlink" Target="https://advance.lexis.com/api/document?collection=administrative-codes&amp;id=urn:contentItem:4W98-B9V0-006W-84YN-00000-00&amp;context=" TargetMode="External" /><Relationship Id="rId19" Type="http://schemas.openxmlformats.org/officeDocument/2006/relationships/hyperlink" Target="http://www.nasdaqtrader.com/content/AdministrationSupport/AgreementsData/datapolicies.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goldmansachs.com/media-relations/in-the-news/current/pdf-media/gsec-order-handling-practices-ats-specific.pdf" TargetMode="External" /><Relationship Id="rId22" Type="http://schemas.openxmlformats.org/officeDocument/2006/relationships/hyperlink" Target="http://www.iextrading.com/about/" TargetMode="External" /><Relationship Id="rId23" Type="http://schemas.openxmlformats.org/officeDocument/2006/relationships/hyperlink" Target="https://advance.lexis.com/api/document?collection=cases&amp;id=urn:contentItem:803V-DT30-YB0V-T01B-00000-00&amp;context=" TargetMode="External" /><Relationship Id="rId24" Type="http://schemas.openxmlformats.org/officeDocument/2006/relationships/hyperlink" Target="http://www.sec.gov/rules/concept/s72899/buck1.htm" TargetMode="External" /><Relationship Id="rId25" Type="http://schemas.openxmlformats.org/officeDocument/2006/relationships/hyperlink" Target="http://www.justice.gov/iso/opa/atr/speeches/2011/at-speech-110516.html" TargetMode="External" /><Relationship Id="rId26" Type="http://schemas.openxmlformats.org/officeDocument/2006/relationships/hyperlink" Target="https://advance.lexis.com/api/document?collection=administrative-codes&amp;id=urn:contentItem:4Y6T-4FW0-006W-80SB-00000-00&amp;context=" TargetMode="External" /><Relationship Id="rId27" Type="http://schemas.openxmlformats.org/officeDocument/2006/relationships/hyperlink" Target="https://www.arcavision.com/Arcavision/arcalogin.jsp" TargetMode="External" /><Relationship Id="rId28" Type="http://schemas.openxmlformats.org/officeDocument/2006/relationships/hyperlink" Target="https://advance.lexis.com/api/document?collection=administrative-codes&amp;id=urn:contentItem:5C6V-V6N0-006W-80W6-00000-00&amp;context=" TargetMode="External" /><Relationship Id="rId29" Type="http://schemas.openxmlformats.org/officeDocument/2006/relationships/hyperlink" Target="https://advance.lexis.com/api/document?collection=administrative-codes&amp;id=urn:contentItem:512C-NGP0-006W-82V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2C-NGP0-006W-82VH-00000-00&amp;context=" TargetMode="External" /><Relationship Id="rId31" Type="http://schemas.openxmlformats.org/officeDocument/2006/relationships/hyperlink" Target="https://www.lavatrading.com/news/pdf/LavaFlow_ADF_Migration.pdf" TargetMode="External" /><Relationship Id="rId32" Type="http://schemas.openxmlformats.org/officeDocument/2006/relationships/hyperlink" Target="http://www.sec.gov/rules/sro.shtml" TargetMode="External" /><Relationship Id="rId33" Type="http://schemas.openxmlformats.org/officeDocument/2006/relationships/hyperlink" Target="mailto:rule-comments@sec.gov" TargetMode="External" /><Relationship Id="rId34" Type="http://schemas.openxmlformats.org/officeDocument/2006/relationships/hyperlink" Target="https://advance.lexis.com/api/document?collection=administrative-codes&amp;id=urn:contentItem:5SPP-2120-008G-Y2ND-00000-00&amp;context="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X-3NW0-006W-8547-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