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22722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078, Thursday, April 23,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22722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April 23,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Strengthening Institutions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Strengthening Institutions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84.031A.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hyperlink r:id="rId8" w:history="1">
        <w:r>
          <w:rPr>
            <w:rFonts w:ascii="arial" w:eastAsia="arial" w:hAnsi="arial" w:cs="arial"/>
            <w:b w:val="0"/>
            <w:i/>
            <w:strike w:val="0"/>
            <w:color w:val="0077CC"/>
            <w:sz w:val="20"/>
            <w:u w:val="single"/>
            <w:vertAlign w:val="baseline"/>
          </w:rPr>
          <w:t>Nalini.Lamba-Nieves@ed.gov</w:t>
        </w:r>
      </w:hyperlink>
      <w:r>
        <w:rPr>
          <w:rFonts w:ascii="arial" w:eastAsia="arial" w:hAnsi="arial" w:cs="arial"/>
          <w:b w:val="0"/>
          <w:i w:val="0"/>
          <w:strike w:val="0"/>
          <w:noProof w:val="0"/>
          <w:color w:val="000000"/>
          <w:position w:val="0"/>
          <w:sz w:val="20"/>
          <w:u w:val="none"/>
          <w:vertAlign w:val="baseline"/>
        </w:rPr>
        <w:t>; (202) 502-7562</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vertAlign w:val="baseline"/>
          </w:rPr>
          <w:t>Pearson.Owens@ed.gov</w:t>
        </w:r>
      </w:hyperlink>
      <w:r>
        <w:rPr>
          <w:rFonts w:ascii="arial" w:eastAsia="arial" w:hAnsi="arial" w:cs="arial"/>
          <w:b w:val="0"/>
          <w:i w:val="0"/>
          <w:strike w:val="0"/>
          <w:noProof w:val="0"/>
          <w:color w:val="000000"/>
          <w:position w:val="0"/>
          <w:sz w:val="20"/>
          <w:u w:val="none"/>
          <w:vertAlign w:val="baseline"/>
        </w:rPr>
        <w:t>; (202) 502-7804</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Don.Crews@ed.gov</w:t>
        </w:r>
      </w:hyperlink>
      <w:r>
        <w:rPr>
          <w:rFonts w:ascii="arial" w:eastAsia="arial" w:hAnsi="arial" w:cs="arial"/>
          <w:b w:val="0"/>
          <w:i w:val="0"/>
          <w:strike w:val="0"/>
          <w:noProof w:val="0"/>
          <w:color w:val="000000"/>
          <w:position w:val="0"/>
          <w:sz w:val="20"/>
          <w:u w:val="none"/>
          <w:vertAlign w:val="baseline"/>
        </w:rPr>
        <w:t>; (202) 502-7574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either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11"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12"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Delegation of Authority:</w:t>
      </w:r>
      <w:r>
        <w:rPr>
          <w:rFonts w:ascii="arial" w:eastAsia="arial" w:hAnsi="arial" w:cs="arial"/>
          <w:b w:val="0"/>
          <w:i w:val="0"/>
          <w:strike w:val="0"/>
          <w:noProof w:val="0"/>
          <w:color w:val="000000"/>
          <w:position w:val="0"/>
          <w:sz w:val="20"/>
          <w:u w:val="none"/>
          <w:vertAlign w:val="baseline"/>
        </w:rPr>
        <w:t xml:space="preserve"> The Secretary of Education has delegated authority to Jamienne S. Studley, Deputy Under Secretary, to perform the functions and duties of the Assistant Secretary for Postsecondary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April 20,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Jamienne S. Studley,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Under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2015-09492 Filed 4-22-15;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Available: April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June 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Intergovernmental Review: August 6,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Strengthening Institutions Program (SIP) provides grants to eligible institutions of higher education (IHEs) to help them become self-sufficient and expand their capacity to serve low-income students by providing funds to improve and strengthen the institution's academic quality, institutional management, and fiscal stability.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This notice contains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is from 34 CFR 75.226.</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Under 34 CFR 75.105(c)(2)(i), we award three additional points to an application that meets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Priority--Supporting Strategies for which there is Moderate Evidence of Effectiveness (3 additional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propose a process, product, strategy, or practice supported by moderate evidence of effectiveness (as defined in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seeking to address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should identify a minimum of one up to a maximum of two studies that support their proposed project and meet the definition of "moderate evidence of effectiveness." Applicants should clearly identify if they are addressing the priority on the one-page abstract submitted with the application. All cited studies must also be submitted with the application as a PDF. If the Department determines that an applicant has provided insufficient information, the applicant will not have an opportunity to provide additional information at a later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qualify as moderate evidence of effectiveness, among other things, a study's evaluation design must meet What Works Clearinghouse (WWC) Evidence Standards (as defined in this notice). The What Works Clearinghouse Procedures and Standards Handbook describes in detail which types of study designs can meet WWC Evidence Standards with or without reservations including both quasi-experimental design studies and randomized controlled trials (as defined in this notice). The WWC review protocol for individual studies in the postsecondary education topic area, which describes the specific types of outcomes, populations, and other criteria that will be used by the Department to determine whether a study meets WWC Evidence Standards, can be found at: </w:t>
      </w:r>
      <w:hyperlink r:id="rId13" w:history="1">
        <w:r>
          <w:rPr>
            <w:rFonts w:ascii="arial" w:eastAsia="arial" w:hAnsi="arial" w:cs="arial"/>
            <w:b w:val="0"/>
            <w:i/>
            <w:strike w:val="0"/>
            <w:noProof w:val="0"/>
            <w:color w:val="0077CC"/>
            <w:position w:val="0"/>
            <w:sz w:val="20"/>
            <w:u w:val="single"/>
            <w:vertAlign w:val="baseline"/>
          </w:rPr>
          <w:t>http://ies.ed.gov/ncee/wwc/pdf/reference_resources/wwc_pe_protocol_v3.0.pdf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may cite studies that (1) have already been determined by the Department to meet the WWC Evidence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studies listed in the WWC-reviewed studies database or in the WWC database under the postsecondary topic area as having met WWC standards with or without reservations) or (2) have not yet been reviewed by the Department but that the applicant thinks will meet the WWC Evidence Standards. In the case of studies that have not yet been reviewed, the Department will review the studies to determine if they meet WWC Evidence Standards, in accordance with the procedures described under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in section IV of this notice. In both cases, the studies will be reviewed by the Department to determine if they also meet the other requirements of the definition for "moderate evidence of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receive the three additional points under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applicants should propose to implement the strategy from their supporting study or studies as closely as possible and describe in the narrative response to this priority how they will do so. Where modifications to a cited strategy will be made to account for student or institutional characteristics, resource limitations, or other special factors, the applicant should provide a justification or basis for the modifications in the narrative response to this priority. Modifications may not be proposed to the core aspects of any cited strategy.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These definitions are from 34 CFR 77.1(c) and apply to the priority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Large sample</w:t>
      </w:r>
      <w:r>
        <w:rPr>
          <w:rFonts w:ascii="arial" w:eastAsia="arial" w:hAnsi="arial" w:cs="arial"/>
          <w:b w:val="0"/>
          <w:i w:val="0"/>
          <w:strike w:val="0"/>
          <w:noProof w:val="0"/>
          <w:color w:val="000000"/>
          <w:position w:val="0"/>
          <w:sz w:val="20"/>
          <w:u w:val="none"/>
          <w:vertAlign w:val="baseline"/>
        </w:rPr>
        <w:t xml:space="preserve"> means an analytic sample of 350 or more students (or other single analysis units), or 50 or more groups (such as classrooms or schools) that contain 10 or more students (or other single analysis units).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Moderate evidence of effectiveness</w:t>
      </w:r>
      <w:r>
        <w:rPr>
          <w:rFonts w:ascii="arial" w:eastAsia="arial" w:hAnsi="arial" w:cs="arial"/>
          <w:b w:val="0"/>
          <w:i w:val="0"/>
          <w:strike w:val="0"/>
          <w:noProof w:val="0"/>
          <w:color w:val="000000"/>
          <w:position w:val="0"/>
          <w:sz w:val="20"/>
          <w:u w:val="none"/>
          <w:vertAlign w:val="baseline"/>
        </w:rPr>
        <w:t xml:space="preserve"> means one of the following conditions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There is at least one study of the effectiveness of the process, product, strategy, or practice being proposed that meets the What Works Clearinghouse </w:t>
      </w:r>
      <w:r>
        <w:rPr>
          <w:rFonts w:ascii="arial" w:eastAsia="arial" w:hAnsi="arial" w:cs="arial"/>
          <w:b/>
          <w:i w:val="0"/>
          <w:strike w:val="0"/>
          <w:noProof w:val="0"/>
          <w:color w:val="000000"/>
          <w:position w:val="0"/>
          <w:sz w:val="20"/>
          <w:u w:val="none"/>
          <w:vertAlign w:val="baseline"/>
        </w:rPr>
        <w:t> [*22723] </w:t>
      </w:r>
      <w:r>
        <w:rPr>
          <w:rFonts w:ascii="arial" w:eastAsia="arial" w:hAnsi="arial" w:cs="arial"/>
          <w:b w:val="0"/>
          <w:i w:val="0"/>
          <w:strike w:val="0"/>
          <w:noProof w:val="0"/>
          <w:color w:val="000000"/>
          <w:position w:val="0"/>
          <w:sz w:val="20"/>
          <w:u w:val="none"/>
          <w:vertAlign w:val="baseline"/>
        </w:rPr>
        <w:t xml:space="preserve"> Evidence Standards without reservations, found a statistically significant favorable impact on a relevant outcome (with no statistically significant and overriding unfavorable impacts on that outcome for relevant populations in the study or in other studies of the intervention reviewed by and reported on by the What Works Clearinghouse), and includes a sample that overlaps with the populations or settings proposed to receive the process, product, strategy, or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There is at least one study of the effectiveness of the process, product, strategy, or practice being proposed that meets the What Works Clearinghouse Evidence Standards with reservations, found a statistically significant favorable impact on a relevant outcome (with no statistically significant and overriding unfavorable impacts on that outcome for relevant populations in the study or in other studies of the intervention reviewed by and reported on by the What Works Clearinghouse), includes a sample that overlaps with the populations or settings proposed to receive the process, product, strategy, or practice, and includes a large sample and a multi-site sample. (</w:t>
      </w: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multiple studies can cumulatively meet the large and multi-site sample requirements as long as each study meets the other requirements in this paragraph.)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Multi-site sample</w:t>
      </w:r>
      <w:r>
        <w:rPr>
          <w:rFonts w:ascii="arial" w:eastAsia="arial" w:hAnsi="arial" w:cs="arial"/>
          <w:b w:val="0"/>
          <w:i w:val="0"/>
          <w:strike w:val="0"/>
          <w:noProof w:val="0"/>
          <w:color w:val="000000"/>
          <w:position w:val="0"/>
          <w:sz w:val="20"/>
          <w:u w:val="none"/>
          <w:vertAlign w:val="baseline"/>
        </w:rPr>
        <w:t xml:space="preserve"> means more than one site, where site can be defined as an LEA, locality, or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with reservations (but not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intervention is the difference between the average outcomes for the treatment group and for the control group. These studies, depending on design and implementation, can meet What Works Clearinghouse Evidence Standards without reservations.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hyperlink r:id="rId14"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vertAlign w:val="baseline"/>
          </w:rPr>
          <w:t>20 U.S.C. 1057</w:t>
        </w:r>
      </w:hyperlink>
      <w:r>
        <w:rPr>
          <w:rFonts w:ascii="arial" w:eastAsia="arial" w:hAnsi="arial" w:cs="arial"/>
          <w:b w:val="0"/>
          <w:i w:val="0"/>
          <w:strike w:val="0"/>
          <w:noProof w:val="0"/>
          <w:color w:val="000000"/>
          <w:position w:val="0"/>
          <w:sz w:val="20"/>
          <w:u w:val="none"/>
          <w:vertAlign w:val="baseline"/>
        </w:rPr>
        <w:t>-1059d (title III, part A, of the Higher Education Act of 1965, as amended (HEA)).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2008, the HEA was amended by the Higher Education Opportunity Act of 2008 (HEOA) (Pub. L. 110-315). The HEOA made a number of technical and substantive revisions to SIP, and the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607 have not yet been updated to reflect these statutory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 607.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grants--Individual Development Grants and Cooperative Arrangement Development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$ 18,197,309.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2016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Individual Development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$ 400,000-$ 450,000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$ 425,000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$ 450,000 for a single budget period of 12 months. The Assistant Secretary for the Office of Postsecondary Education may change the maximum amount through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36.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Cooperative Arrangement Development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$ 600,000-$ 650,000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$ 625,000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$ 650,000 for a single budget period of 12 months. The Assistant Secretary for the Office of Postsecondary Education may change the maximum amount through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 for each type of award.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(a) This program is authorized by title III, part A, of the HEA. To qualify as an eligible institution under any title III, part A program, an institution must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Accredited or pre-accredited by a nationally recognized accrediting agency or association that the Secretary has determined to be a reliable authority as to the quality of education or training offered;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Legally authorized by the State in which it is located to be a junior or community college or to provide an educational program for which it awards a bachelor's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Designated as an "eligible institution" by demonstrating that it has: (A) an enrollment of needy students as described in 34 CFR 607.3; and (B) low average educational and general expenditures per full-time equivalent (FTE) undergraduate student as described in 34 CFR 607.4.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For purposes of establishing eligibility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notice inviting applications for eligibility designation for FY 2015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3, 2014 </w:t>
      </w:r>
      <w:hyperlink r:id="rId16" w:history="1">
        <w:r>
          <w:rPr>
            <w:rFonts w:ascii="arial" w:eastAsia="arial" w:hAnsi="arial" w:cs="arial"/>
            <w:b w:val="0"/>
            <w:i/>
            <w:strike w:val="0"/>
            <w:noProof w:val="0"/>
            <w:color w:val="0077CC"/>
            <w:position w:val="0"/>
            <w:sz w:val="20"/>
            <w:u w:val="single"/>
            <w:vertAlign w:val="baseline"/>
          </w:rPr>
          <w:t>(79 FR 65197)</w:t>
        </w:r>
      </w:hyperlink>
      <w:r>
        <w:rPr>
          <w:rFonts w:ascii="arial" w:eastAsia="arial" w:hAnsi="arial" w:cs="arial"/>
          <w:b w:val="0"/>
          <w:i w:val="0"/>
          <w:strike w:val="0"/>
          <w:noProof w:val="0"/>
          <w:color w:val="000000"/>
          <w:position w:val="0"/>
          <w:sz w:val="20"/>
          <w:u w:val="none"/>
          <w:vertAlign w:val="baseline"/>
        </w:rPr>
        <w:t xml:space="preserve"> and applications were due on December 22, 2014. Only institutions that submitted the required application and received designation through this process are eligible to submit applications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grantee under the Developing Hispanic-Serving Institutions (HSI) Program, which is authorized under title V of the HEA, may not receive a grant under any HEA, title III, part A program, including SIP. Furthermore, a current HSI Program grantee may not give up its HSI grant to receive a grant under SIP or any title III, part A program as described in 34 CFR 607.2(g)(1).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eligible HSI that is not a current grantee under the HSI Program may apply for a FY 2015 grant under all title III, part A programs for which it is eligible, as well as receive consideration for a grant under the HSI Program. However, a successful applicant may receive only one grant as described in 34 CFR 607.2(g)(1).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An eligible IHE that submits an application for an Individual </w:t>
      </w:r>
      <w:r>
        <w:rPr>
          <w:rFonts w:ascii="arial" w:eastAsia="arial" w:hAnsi="arial" w:cs="arial"/>
          <w:b/>
          <w:i w:val="0"/>
          <w:strike w:val="0"/>
          <w:noProof w:val="0"/>
          <w:color w:val="000000"/>
          <w:position w:val="0"/>
          <w:sz w:val="20"/>
          <w:u w:val="none"/>
          <w:vertAlign w:val="baseline"/>
        </w:rPr>
        <w:t> [*22724] </w:t>
      </w:r>
      <w:r>
        <w:rPr>
          <w:rFonts w:ascii="arial" w:eastAsia="arial" w:hAnsi="arial" w:cs="arial"/>
          <w:b w:val="0"/>
          <w:i w:val="0"/>
          <w:strike w:val="0"/>
          <w:noProof w:val="0"/>
          <w:color w:val="000000"/>
          <w:position w:val="0"/>
          <w:sz w:val="20"/>
          <w:u w:val="none"/>
          <w:vertAlign w:val="baseline"/>
        </w:rPr>
        <w:t xml:space="preserve"> Development Grant and a Cooperative Arrangement Development Grant may be awarded both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An eligible IHE that currently has a SIP Individual Development Grant may apply for and be awarded a Cooperative Development Grant. A grantee with an Individual Development Grant or Cooperative Arrangement Development Grant may be a partner or subgrantee in one or more Cooperative Arrangement Development Grants. The lead institution in a Cooperative Arrangement Development Grant must be an eligible institution. Partners or subgrantees are not required to be eligible institutions.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2.a.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 unless the grantee uses a portion of its grant for establishing or improving an endowment fund. If a grantee uses a portion of its grant for endowment fund purposes, it must match those grant funds with non-Federal funds </w:t>
      </w:r>
      <w:hyperlink r:id="rId17" w:history="1">
        <w:r>
          <w:rPr>
            <w:rFonts w:ascii="arial" w:eastAsia="arial" w:hAnsi="arial" w:cs="arial"/>
            <w:b w:val="0"/>
            <w:i/>
            <w:strike w:val="0"/>
            <w:noProof w:val="0"/>
            <w:color w:val="0077CC"/>
            <w:position w:val="0"/>
            <w:sz w:val="20"/>
            <w:u w:val="single"/>
            <w:vertAlign w:val="baseline"/>
          </w:rPr>
          <w:t>(20 U.S.C. 1059c</w:t>
        </w:r>
      </w:hyperlink>
      <w:r>
        <w:rPr>
          <w:rFonts w:ascii="arial" w:eastAsia="arial" w:hAnsi="arial" w:cs="arial"/>
          <w:b w:val="0"/>
          <w:i w:val="0"/>
          <w:strike w:val="0"/>
          <w:noProof w:val="0"/>
          <w:color w:val="000000"/>
          <w:position w:val="0"/>
          <w:sz w:val="20"/>
          <w:u w:val="none"/>
          <w:vertAlign w:val="baseline"/>
        </w:rPr>
        <w:t>(c) (3)(B)).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Supplement-Not-Supplant:</w:t>
      </w:r>
      <w:r>
        <w:rPr>
          <w:rFonts w:ascii="arial" w:eastAsia="arial" w:hAnsi="arial" w:cs="arial"/>
          <w:b w:val="0"/>
          <w:i w:val="0"/>
          <w:strike w:val="0"/>
          <w:noProof w:val="0"/>
          <w:color w:val="000000"/>
          <w:position w:val="0"/>
          <w:sz w:val="20"/>
          <w:u w:val="none"/>
          <w:vertAlign w:val="baseline"/>
        </w:rPr>
        <w:t xml:space="preserve"> This program involves supplement-not-supplant funding requirements. Grant funds shall be used so that they supplement and, to the extent practical, increase the funds that would otherwise be available for the activities to be carried out under the grant and in no case supplant those funds (34 CFR 607.30(b)).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via the Internet using the following address: </w:t>
      </w:r>
      <w:hyperlink r:id="rId18"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you do not have access to the Internet, please contact one of the program contact persons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one of the program contact persons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Page Limit: The application narrative (Part III of the application) is where you, the applicant, address the selection criteria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that reviewers use to evaluate your application. We have established the following mandatory page limits for Individual Development Grant and Cooperative Arrangement Development Grant applications: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 are not addressing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you must limit your application narrative to no more than 50 pages for an Individual Development Grant application and to no more than 70 pages for a Cooperative Arrangement Development Grant application.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 are addressing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you must limit your application narrative to no more than 55 pages for an Individual Development Grant application and 75 pages for a Cooperative Arrangement Development Grant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should provide information addressing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in the section of the application titled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Priority--Supporting Strategies for which there is Moderate Evidence of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determining compliance with the page limit, each page on which there are words will be counted as one full page. Applicants must use the following standards: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 Page numbers and an identifier may be within the 1" margins.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Double space (no more than three lines per vertical inch) all text in the application narrative, </w:t>
      </w:r>
      <w:r>
        <w:rPr>
          <w:rFonts w:ascii="arial" w:eastAsia="arial" w:hAnsi="arial" w:cs="arial"/>
          <w:b w:val="0"/>
          <w:i/>
          <w:strike w:val="0"/>
          <w:noProof w:val="0"/>
          <w:color w:val="000000"/>
          <w:position w:val="0"/>
          <w:sz w:val="20"/>
          <w:u w:val="none"/>
          <w:vertAlign w:val="baseline"/>
        </w:rPr>
        <w:t>except</w:t>
      </w:r>
      <w:r>
        <w:rPr>
          <w:rFonts w:ascii="arial" w:eastAsia="arial" w:hAnsi="arial" w:cs="arial"/>
          <w:b w:val="0"/>
          <w:i w:val="0"/>
          <w:strike w:val="0"/>
          <w:noProof w:val="0"/>
          <w:color w:val="000000"/>
          <w:position w:val="0"/>
          <w:sz w:val="20"/>
          <w:u w:val="none"/>
          <w:vertAlign w:val="baseline"/>
        </w:rPr>
        <w:t xml:space="preserve"> titles, headings, footnotes, quotations, references, and captions. Text in charts, tables, figures, and graphs in the application narrative may be single spaced and will count toward the page limit.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and no smaller than 10 pitch (characters per inch). However, you may use a 10-point font in charts, tables, figures, graphs, footnotes, and endnotes.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page limit applies to all of the application narrative section, including your complete response to the selection criteria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However, the page limit does not apply to Part I, the Application for Federal Assistance (SF 424-cover sheet); the Department of Education Supplemental Information Form (SF 424); Part II, the Budget Information-Non-Construction Programs Form (ED 524); Section A--Budget Summary--U.S. Department of Education Funds; Section B--Budget Summary--Non-Federal Funds; and Section C--Budget Narrative; Part IV, the assurances and certifications; the one-page program abstract; or bibliography. The page limit also does not apply to any copies of studies that are submitted in response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However, if you include any attachments or appendices not specifically listed in this section or requested in the application package, these items will be counted as part of your application narrative for the purpose of the page-limit requirement.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Budget Information-Non-Construction Programs Form (ED 524) Sections A-C are not the same as the narrative response to the Budget section of the selection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Available: April 23,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June 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program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section IV.7.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one of the program contact persons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 Deadline for Intergovernmental Review: August 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w:t>
      </w:r>
      <w:r>
        <w:rPr>
          <w:rFonts w:ascii="arial" w:eastAsia="arial" w:hAnsi="arial" w:cs="arial"/>
          <w:b/>
          <w:i w:val="0"/>
          <w:strike w:val="0"/>
          <w:noProof w:val="0"/>
          <w:color w:val="000000"/>
          <w:position w:val="0"/>
          <w:sz w:val="20"/>
          <w:u w:val="none"/>
          <w:vertAlign w:val="baseline"/>
        </w:rPr>
        <w:t> [*22725] </w:t>
      </w:r>
      <w:r>
        <w:rPr>
          <w:rFonts w:ascii="arial" w:eastAsia="arial" w:hAnsi="arial" w:cs="arial"/>
          <w:b w:val="0"/>
          <w:i w:val="0"/>
          <w:strike w:val="0"/>
          <w:noProof w:val="0"/>
          <w:color w:val="000000"/>
          <w:position w:val="0"/>
          <w:sz w:val="20"/>
          <w:u w:val="none"/>
          <w:vertAlign w:val="baseline"/>
        </w:rPr>
        <w:t xml:space="preserve">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General.</w:t>
      </w:r>
      <w:r>
        <w:rPr>
          <w:rFonts w:ascii="arial" w:eastAsia="arial" w:hAnsi="arial" w:cs="arial"/>
          <w:b w:val="0"/>
          <w:i w:val="0"/>
          <w:strike w:val="0"/>
          <w:noProof w:val="0"/>
          <w:color w:val="000000"/>
          <w:position w:val="0"/>
          <w:sz w:val="20"/>
          <w:u w:val="none"/>
          <w:vertAlign w:val="baseline"/>
        </w:rPr>
        <w:t xml:space="preserve"> We specify unallowable costs in 34 CFR 607.10(c). We reference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Applicability of Executive Order 13202.</w:t>
      </w:r>
      <w:r>
        <w:rPr>
          <w:rFonts w:ascii="arial" w:eastAsia="arial" w:hAnsi="arial" w:cs="arial"/>
          <w:b w:val="0"/>
          <w:i w:val="0"/>
          <w:strike w:val="0"/>
          <w:noProof w:val="0"/>
          <w:color w:val="000000"/>
          <w:position w:val="0"/>
          <w:sz w:val="20"/>
          <w:u w:val="none"/>
          <w:vertAlign w:val="baseline"/>
        </w:rPr>
        <w:t xml:space="preserve"> Applicants that apply for construction funds under the title III, part A, HEA programs must comply with Executive Order 13202, as amended. This Executive order provides that recipients of Federal construction funds may not "require or prohibit bidders, offerors, contractors, or subcontractors to enter into or adhere to agreements with one or more labor organizations, on the same or other construction project(s)" or "otherwise discriminate against bidders, offerors, contractors, or subcontractors for becoming or refusing to become or remain signatories or otherwise to adhere to agreements with one or more labor organizations, on the same or other related construction project(s)." Projects funded under this program that include construction activity will be provided a copy of this Executive order and will be asked to certify that they will adhere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(CCR),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obtain a DUNS number from Dun and Bradstreet.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Grants.gov and before you can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9"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hyperlink r:id="rId20"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1"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the Strengthening Institutions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Strengthening Institutions Program, CFDA number 84.031A, must be submitted electronically using the Governmentwide Grants.gov Apply site at </w:t>
      </w:r>
      <w:hyperlink r:id="rId18"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18"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84.031, not 84.031A).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w:t>
      </w:r>
      <w:r>
        <w:rPr>
          <w:rFonts w:ascii="arial" w:eastAsia="arial" w:hAnsi="arial" w:cs="arial"/>
          <w:b/>
          <w:i w:val="0"/>
          <w:strike w:val="0"/>
          <w:noProof w:val="0"/>
          <w:color w:val="000000"/>
          <w:position w:val="0"/>
          <w:sz w:val="20"/>
          <w:u w:val="none"/>
          <w:vertAlign w:val="baseline"/>
        </w:rPr>
        <w:t> [*22726] </w:t>
      </w:r>
      <w:r>
        <w:rPr>
          <w:rFonts w:ascii="arial" w:eastAsia="arial" w:hAnsi="arial" w:cs="arial"/>
          <w:b w:val="0"/>
          <w:i w:val="0"/>
          <w:strike w:val="0"/>
          <w:noProof w:val="0"/>
          <w:color w:val="000000"/>
          <w:position w:val="0"/>
          <w:sz w:val="20"/>
          <w:u w:val="none"/>
          <w:vertAlign w:val="baseline"/>
        </w:rPr>
        <w:t xml:space="preserve"> and Events on the Department's G5 system home page at </w:t>
      </w:r>
      <w:hyperlink r:id="rId22"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PDF read-only, non-modifiable format. Do not upload an interactive or fillable PDF file. If you upload a file type other than a read-only, non-modifiable PDF or submit a password-protected file, we will not review that material.</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ED-specified identifying number unique to your application).</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persons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that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 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Nalini Lamba-Nieves, U.S. Department of Education, 1990 K Street NW., Room 6024, Washington, DC 20006-8513. FAX: (202) 502-7861.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84.031A),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84.031A),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Application Control Center accepts hand deliveries daily between 8:00 a.m. and 4:30:00 p.m., Washington, DC time, except Saturdays, Sundays, and Federal holidays. </w:t>
      </w:r>
      <w:r>
        <w:rPr>
          <w:rFonts w:ascii="arial" w:eastAsia="arial" w:hAnsi="arial" w:cs="arial"/>
          <w:b/>
          <w:i w:val="0"/>
          <w:strike w:val="0"/>
          <w:noProof w:val="0"/>
          <w:color w:val="000000"/>
          <w:position w:val="0"/>
          <w:sz w:val="20"/>
          <w:u w:val="none"/>
          <w:vertAlign w:val="baseline"/>
        </w:rPr>
        <w:t> [*22727]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Note for Mail or Hand Delivery of Paper Applications: </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34 CFR 607.22(a)-(g). Applicants must address each of the following selection criteria. The total maximum number of points under the selection criteria is 100 points; the maximum score under each criterion is noted in parentheses. The complete text of the selection criteria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Quality of the Applicant's Comprehensive Development Plan.</w:t>
      </w:r>
      <w:r>
        <w:rPr>
          <w:rFonts w:ascii="arial" w:eastAsia="arial" w:hAnsi="arial" w:cs="arial"/>
          <w:b w:val="0"/>
          <w:i w:val="0"/>
          <w:strike w:val="0"/>
          <w:noProof w:val="0"/>
          <w:color w:val="000000"/>
          <w:position w:val="0"/>
          <w:sz w:val="20"/>
          <w:u w:val="none"/>
          <w:vertAlign w:val="baseline"/>
        </w:rPr>
        <w:t xml:space="preserve"> (Maximum 25 Points) 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strengths, weaknesses, and significant problems of the institution's academic programs, institutional management, and fiscal stability are clearly and comprehensively analyzed and result from a process that involved major constituencies of the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goals for the institution's academic programs, institutional management, and fiscal stability are realistic and based on comprehensive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objectives stated in the plan are measurable, related to institutional goals, and, if achieved, will contribute to the growth and self-sufficiency of the institution;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plan clearly and comprehensively describes the methods and resources the institution will use to institutionalize practice and improvements developed under the proposed project, including, in particular, how operational costs for personnel, maintenance, and upgrades of equipment will be paid with institutional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Activity Objectives.</w:t>
      </w:r>
      <w:r>
        <w:rPr>
          <w:rFonts w:ascii="arial" w:eastAsia="arial" w:hAnsi="arial" w:cs="arial"/>
          <w:b w:val="0"/>
          <w:i w:val="0"/>
          <w:strike w:val="0"/>
          <w:noProof w:val="0"/>
          <w:color w:val="000000"/>
          <w:position w:val="0"/>
          <w:sz w:val="20"/>
          <w:u w:val="none"/>
          <w:vertAlign w:val="baseline"/>
        </w:rPr>
        <w:t xml:space="preserve"> (Maximum 15 Points) The extent to which the objectives for each activity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Realistic and defined in terms of measurable results;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Directly related to the problems to be solved and to the goals of the comprehensive development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Implementation Strategy.</w:t>
      </w:r>
      <w:r>
        <w:rPr>
          <w:rFonts w:ascii="arial" w:eastAsia="arial" w:hAnsi="arial" w:cs="arial"/>
          <w:b w:val="0"/>
          <w:i w:val="0"/>
          <w:strike w:val="0"/>
          <w:noProof w:val="0"/>
          <w:color w:val="000000"/>
          <w:position w:val="0"/>
          <w:sz w:val="20"/>
          <w:u w:val="none"/>
          <w:vertAlign w:val="baseline"/>
        </w:rPr>
        <w:t xml:space="preserve"> (Maximum 20 Points) 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implementation strategy for each activity is comprehensive;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rationale for the implementation strategy for each activity is clearly described and is supported by the results of relevant studies or projects;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timetable for each activity is realistic and likely to be attained.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Key Personnel.</w:t>
      </w:r>
      <w:r>
        <w:rPr>
          <w:rFonts w:ascii="arial" w:eastAsia="arial" w:hAnsi="arial" w:cs="arial"/>
          <w:b w:val="0"/>
          <w:i w:val="0"/>
          <w:strike w:val="0"/>
          <w:noProof w:val="0"/>
          <w:color w:val="000000"/>
          <w:position w:val="0"/>
          <w:sz w:val="20"/>
          <w:u w:val="none"/>
          <w:vertAlign w:val="baseline"/>
        </w:rPr>
        <w:t xml:space="preserve"> (Maximum 7 Points) 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past experience and training of key professional personnel are directly related to the stated activity objectives;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time commitment of key personnel is realistic.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Quality of Project Management Plan.</w:t>
      </w:r>
      <w:r>
        <w:rPr>
          <w:rFonts w:ascii="arial" w:eastAsia="arial" w:hAnsi="arial" w:cs="arial"/>
          <w:b w:val="0"/>
          <w:i w:val="0"/>
          <w:strike w:val="0"/>
          <w:noProof w:val="0"/>
          <w:color w:val="000000"/>
          <w:position w:val="0"/>
          <w:sz w:val="20"/>
          <w:u w:val="none"/>
          <w:vertAlign w:val="baseline"/>
        </w:rPr>
        <w:t xml:space="preserve"> (Maximum 10 Points) 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Procedures for managing the project are likely to ensure efficient and effective project implementation;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project coordinator and activity directors have sufficient authority to conduct the project effectively, including access to the president or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Quality of Evaluation Plan.</w:t>
      </w:r>
      <w:r>
        <w:rPr>
          <w:rFonts w:ascii="arial" w:eastAsia="arial" w:hAnsi="arial" w:cs="arial"/>
          <w:b w:val="0"/>
          <w:i w:val="0"/>
          <w:strike w:val="0"/>
          <w:noProof w:val="0"/>
          <w:color w:val="000000"/>
          <w:position w:val="0"/>
          <w:sz w:val="20"/>
          <w:u w:val="none"/>
          <w:vertAlign w:val="baseline"/>
        </w:rPr>
        <w:t xml:space="preserve"> (Maximum 15 Points) The extent to which--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data elements and the data collection procedures are clearly described and appropriate to measure the attainment of activity objectives and to measure the success of the project in achieving the goals of the comprehensive development plan;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data analysis procedures are clearly described and are likely to produce formative and summative results on attaining activity objectives and measuring the success of the project on achieving the goals of the comprehensive development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Budget.</w:t>
      </w:r>
      <w:r>
        <w:rPr>
          <w:rFonts w:ascii="arial" w:eastAsia="arial" w:hAnsi="arial" w:cs="arial"/>
          <w:b w:val="0"/>
          <w:i w:val="0"/>
          <w:strike w:val="0"/>
          <w:noProof w:val="0"/>
          <w:color w:val="000000"/>
          <w:position w:val="0"/>
          <w:sz w:val="20"/>
          <w:u w:val="none"/>
          <w:vertAlign w:val="baseline"/>
        </w:rPr>
        <w:t xml:space="preserve"> (Maximum 8 Points) The extent to which the proposed costs are necessary and reasonable in relation to the project's objectives and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Awards will be made in rank order according to the average score received from an evaluation performed by a panel of non-Federal reviewers based on responses to the selection criteria and, if applicable,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If an application is scored highly, has the possibility of being funded, and includes a response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IES will review the studies cited in the application to determine whether they meet the "moderate evidence of effectiveness" standard. Only those applications that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and have the possibility of being funded because of high scores and available funds for new awards will undergo further review by IES. At least one study submitted must be found to meet the definition of "moderate evidence of effectiveness," in order for applicants to receive the additional points.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Tie-breaker for Development Grants.</w:t>
      </w:r>
      <w:r>
        <w:rPr>
          <w:rFonts w:ascii="arial" w:eastAsia="arial" w:hAnsi="arial" w:cs="arial"/>
          <w:b w:val="0"/>
          <w:i w:val="0"/>
          <w:strike w:val="0"/>
          <w:noProof w:val="0"/>
          <w:color w:val="000000"/>
          <w:position w:val="0"/>
          <w:sz w:val="20"/>
          <w:u w:val="none"/>
          <w:vertAlign w:val="baseline"/>
        </w:rPr>
        <w:t xml:space="preserve"> In tie-breaking situations for Development Grants, 34 CFR 607.23(b) requires that we award one additional point to an application from an IHE that has an endowment fund of which the current market value, per full time equivalent (FTE) enrolled student, is less than the average current market value of the endowment funds, per FTE enrolled student, at comparable type institutions that offer similar instruction. We also award one additional point to an application from an IHE that has expenditures for library materials per FTE enrolled student that are less than the average expenditure for library materials per FTE enrolled student at similar type institutions. We also add one additional point to an application from an IHE that proposes to carry out one or more of the following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Faculty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Funds and administrative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Development and improvement of academic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Acquisition of equipment for use in strengthening management and academic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Joint use of facilities;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Student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 of these funding considerations, we use 2012-2013 data. </w:t>
      </w:r>
      <w:r>
        <w:rPr>
          <w:rFonts w:ascii="arial" w:eastAsia="arial" w:hAnsi="arial" w:cs="arial"/>
          <w:b/>
          <w:i w:val="0"/>
          <w:strike w:val="0"/>
          <w:noProof w:val="0"/>
          <w:color w:val="000000"/>
          <w:position w:val="0"/>
          <w:sz w:val="20"/>
          <w:u w:val="none"/>
          <w:vertAlign w:val="baseline"/>
        </w:rPr>
        <w:t> [*22728]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tie remains after applying the tie-breaker mechanism above, priority will be given in the case of applicants for: (a) Individual Development Grants, to applicants that have the lowest endowment values per FTE student; and (b) Cooperative Arrangement Development Grants, to applicants in accordance with section 394(b) of the HEA, if the Secretary determines that the cooperative arrangement is geographically and economically sound or will benefit the applicant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(34 CFR 607.24(c)(2));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23"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Secretary has established the following key performance measures for assessing the effectiveness of the Strengthening Institutions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percentage change, over the five-year period, of the number of full-time degree-seeking undergraduates enrolled at SIP institutions. Note that this is a long-term measure, which will be used to periodically gauge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percentage of first-time, full-time degree-seeking undergraduate students at four-year SIP institutions who were in their first year of postsecondary enrollment in the previous year and are enrolled in the current year at the same SIP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percentage of first-time, full-time degree-seeking undergraduate students at two-year SIP institutions who were in their first year of postsecondary enrollment in the previous year and are enrolled in the current year at the same SIP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percentage of first-time, full-time degree-seeking undergraduate students enrolled at four-year SIP institutions graduating within six years of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percentage of first-time, full-time degree-seeking undergraduate students enrolled at two-year SIP institutions graduating within three years of enrollment;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cost per successful program outcome: Federal cost per undergraduate and graduate degree at SIP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34 CFR 75.253,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 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Contacts</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Nalini Lamba-Nieves, Pearson Owens, or Don Crews, U.S. Department of Education, 1990 K Street NW., Room 6024, Washington, DC 20006-8513. You may contact these individuals at the following email addresses and telephone numbers: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22722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Don.Crews@ed.gov" TargetMode="External" /><Relationship Id="rId11" Type="http://schemas.openxmlformats.org/officeDocument/2006/relationships/hyperlink" Target="http://www.gpo.gov/fdsys" TargetMode="External" /><Relationship Id="rId12" Type="http://schemas.openxmlformats.org/officeDocument/2006/relationships/hyperlink" Target="http://www.federalregister.gov" TargetMode="External" /><Relationship Id="rId13" Type="http://schemas.openxmlformats.org/officeDocument/2006/relationships/hyperlink" Target="http://ies.ed.gov/ncee/wwc/pdf/reference_resources/wwc_pe_protocol_v3.0.pdf" TargetMode="External" /><Relationship Id="rId14" Type="http://schemas.openxmlformats.org/officeDocument/2006/relationships/hyperlink" Target="http://ies.ed.gov/ncee/wwc/DocumentSum.aspx?sid=19" TargetMode="External" /><Relationship Id="rId15" Type="http://schemas.openxmlformats.org/officeDocument/2006/relationships/hyperlink" Target="https://advance.lexis.com/api/document?collection=statutes-legislation&amp;id=urn:contentItem:4YF7-GKH1-NRF4-40RB-00000-00&amp;context=" TargetMode="External" /><Relationship Id="rId16" Type="http://schemas.openxmlformats.org/officeDocument/2006/relationships/hyperlink" Target="https://advance.lexis.com/api/document?collection=administrative-codes&amp;id=urn:contentItem:5DHB-0TG0-006W-83HD-00000-00&amp;context=" TargetMode="External" /><Relationship Id="rId17" Type="http://schemas.openxmlformats.org/officeDocument/2006/relationships/hyperlink" Target="https://advance.lexis.com/api/document?collection=statutes-legislation&amp;id=urn:contentItem:4YF7-GK61-NRF4-42TW-00000-00&amp;context=" TargetMode="External" /><Relationship Id="rId18" Type="http://schemas.openxmlformats.org/officeDocument/2006/relationships/hyperlink" Target="http://www.Grants.gov" TargetMode="External" /><Relationship Id="rId19" Type="http://schemas.openxmlformats.org/officeDocument/2006/relationships/hyperlink" Target="http://www.SAM.gov" TargetMode="External" /><Relationship Id="rId2" Type="http://schemas.openxmlformats.org/officeDocument/2006/relationships/webSettings" Target="webSettings.xml" /><Relationship Id="rId20" Type="http://schemas.openxmlformats.org/officeDocument/2006/relationships/hyperlink" Target="http://www2.ed.gov/fund/grant/apply/sam-faqs.html" TargetMode="External" /><Relationship Id="rId21" Type="http://schemas.openxmlformats.org/officeDocument/2006/relationships/hyperlink" Target="http://www.grants.gov/web/grants/register.html" TargetMode="External" /><Relationship Id="rId22" Type="http://schemas.openxmlformats.org/officeDocument/2006/relationships/hyperlink" Target="http://www.G5.gov" TargetMode="External" /><Relationship Id="rId23" Type="http://schemas.openxmlformats.org/officeDocument/2006/relationships/hyperlink" Target="http://www.ed.gov/fund/grant/apply/appforms/appforms.html" TargetMode="Externa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TT-0SR0-006W-80NF-00000-00&amp;context=" TargetMode="External" /><Relationship Id="rId8" Type="http://schemas.openxmlformats.org/officeDocument/2006/relationships/hyperlink" Target="mailto:Nalini.Lamba-Nieves@ed.gov" TargetMode="External" /><Relationship Id="rId9" Type="http://schemas.openxmlformats.org/officeDocument/2006/relationships/hyperlink" Target="mailto:Pearson.Owens@ed.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32545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71560547</vt:lpwstr>
  </property>
  <property fmtid="{D5CDD505-2E9C-101B-9397-08002B2CF9AE}" pid="3" name="LADocCount">
    <vt:lpwstr>1</vt:lpwstr>
  </property>
  <property fmtid="{D5CDD505-2E9C-101B-9397-08002B2CF9AE}" pid="4" name="UserPermID">
    <vt:lpwstr>urn:user:PA185916758</vt:lpwstr>
  </property>
</Properties>
</file>