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27050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090, Part III, Monday, May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27050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First in the World Program--Development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Fund for the Improvement of Postsecondary Education (FIPSE)--First in the World (FITW) Program--Development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84.116F.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30,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31,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FITW program is designed to support the development, replication, and dissemination of innovative solutions and evidence for what works in addressing persistent and widespread challenges in postsecondary education for students who are at risk for not persisting in and completing postsecondary programs, including, but not limited to, adult learners, working students, part-time students, students from low-income backgrounds, students of color, students with disabilities, and first-generation students. The focus of the FITW program is to build evidence for what works in postsecondary education by testing the effectiveness of these strategies in improving student persistence and completion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2015, the Department will award two types of grants under this program: "Development" grants and "Validation" grants. These grants differ in terms of the level of evidence of effectiveness required for consideration of funding, the level of scale the funded project should reach, and, consequently, the amount of funding available to support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Development grants only. Development grants will support new or substantially more effective practices for addressing widely shared challenges. Applications for Development grants must be based on Strong Theory (as defined in this notice). The Department has published a separate notice inviting applications for Validation grants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three absolute priorities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priorities are from the notice of final priorities, requirements, definitions, and selection criterion for this program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address one of the three absolute priorities. Applicants must specify on the Abstract and Information page of their applications which absolute priority is addressed in the application. For Absolute Priority 2 and Absolute Priority 3, we have identified multiple subparts. Applicants that address one of these absolute priorities must select one subpart that the proposed project will address to meet the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Improving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improve teaching and learning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Instruction-level tools or strategies such as adaptive learning technology, educational games, personalized learning, active- or project-based learning, faculty-centered strategies that systematically improve the quality of teaching, or multi-disciplinary efforts focused on improving instructional experiences.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large percentage of students in postsecondary education struggle academically because they arrive to college unprepared for college-level coursework. n1 These struggles make the prospect of dropping out more likely. n2 Further, for students who do complete their courses and programs, the limited available information on learning proficiency suggests that too many students are lacking the critical thinking, analytical, and communication skills needed for the workforce. n3 These challenges may be more acute for the types of students that now make up the majority of students enrolled in postsecondary education: Adult learners, working students, part-time students, students from low-income backgrounds, students of color, and first-generation students. On the other hand, the research base on cognitive science continues to grow, employers are becoming more specific in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they desire, data analytics offers greater and more targeted insights, and new technologies offer the potential for new methods and more differentiated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Xianglei Chen and others, Academic Preparation for College in the High School Senior Class of 2003-04: Education Longitudinal Study of 2002 (ELS: 2002), Base-year, 2002, First Follow-up, 2004, and High School Transcript Study, 2004 (Washington: U.S. Department of Education, National Center for Education Statistics, January 2010); Jay Greene and Greg Foster, "Public High School Graduation and College Readiness Rates in the United States," Working Paper 3 (New York: Manhattan Institute, Center for Civic Information, Education, September 2003). Greene and Foster define being minimally "college ready" as: Graduating from high school, having taken four years of English, three years of mathematics, and two years of science, social science, and foreign language, and demonstrating basic literacy skills by scoring at least 265 points on the National Assessment of Educational Progress in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Eric Bettinger and Bridget Terry Long, "Addressing the Needs of Under-Prepared College Students: Does College Remediation Work?" Journal of Human Resources 44, no. 3 (2009); Brian Jacob and Lars Lefgren, "Remedial Education and Student Achievement: A Regression-Discontinuity Analysis," Review of Economics and Statistics 86, no. 1 (2004): 226-44.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Arum, Richard and Roksa, Josipa, </w:t>
      </w:r>
      <w:r>
        <w:rPr>
          <w:rFonts w:ascii="arial" w:eastAsia="arial" w:hAnsi="arial" w:cs="arial"/>
          <w:b w:val="0"/>
          <w:i/>
          <w:strike w:val="0"/>
          <w:noProof w:val="0"/>
          <w:color w:val="000000"/>
          <w:position w:val="0"/>
          <w:sz w:val="20"/>
          <w:u w:val="none"/>
          <w:vertAlign w:val="baseline"/>
        </w:rPr>
        <w:t>Academically Adrift: Limited Learning on College Campuses</w:t>
      </w:r>
      <w:r>
        <w:rPr>
          <w:rFonts w:ascii="arial" w:eastAsia="arial" w:hAnsi="arial" w:cs="arial"/>
          <w:b w:val="0"/>
          <w:i w:val="0"/>
          <w:strike w:val="0"/>
          <w:noProof w:val="0"/>
          <w:color w:val="000000"/>
          <w:position w:val="0"/>
          <w:sz w:val="20"/>
          <w:u w:val="none"/>
          <w:vertAlign w:val="baseline"/>
        </w:rPr>
        <w:t xml:space="preserve"> (University of Chicago Press, January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challenges and opportunities, innovations in how students experience learning in college remain largely small scale or limited to a small number of institutions. With some exceptions, the same degrees and other credentials are offered in the traditional ways, by counting numbers of courses taken or hours taught. Methods of teaching have stayed largely static, with the traditional lecture as the core instructional design. New approaches to teaching and learning, such as tools and strategies that go beyond the traditional lecture to support active learning, and that actively engage learners or customize learning, must be tested and expanded to more postsecondary institutions to improve accessibility and quality and reduce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Developing and Using Assessments of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support the development and use of externally validated assessments of student learning and stated learning goals through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Alternative assessment tools or strategies such as micro-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 assessments embedded in curriculum, or simulations, games, or other technology-based assessment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Aligning assessments across sectors and institutions, such as across kindergarten through grade 12 and postsecondary education systems or across two-year and four-year </w:t>
      </w:r>
      <w:r>
        <w:rPr>
          <w:rFonts w:ascii="arial" w:eastAsia="arial" w:hAnsi="arial" w:cs="arial"/>
          <w:b/>
          <w:i w:val="0"/>
          <w:strike w:val="0"/>
          <w:noProof w:val="0"/>
          <w:color w:val="000000"/>
          <w:position w:val="0"/>
          <w:sz w:val="20"/>
          <w:u w:val="none"/>
          <w:vertAlign w:val="baseline"/>
        </w:rPr>
        <w:t> [*27051] </w:t>
      </w:r>
      <w:r>
        <w:rPr>
          <w:rFonts w:ascii="arial" w:eastAsia="arial" w:hAnsi="arial" w:cs="arial"/>
          <w:b w:val="0"/>
          <w:i w:val="0"/>
          <w:strike w:val="0"/>
          <w:noProof w:val="0"/>
          <w:color w:val="000000"/>
          <w:position w:val="0"/>
          <w:sz w:val="20"/>
          <w:u w:val="none"/>
          <w:vertAlign w:val="baseline"/>
        </w:rPr>
        <w:t xml:space="preserve"> institutions, to improve college readiness and content delivery.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Learning assessment has shown promise as an effective instructional strategy to increase student success. While learning assessment, in the past, focused more on traditional testing, current assessment has expanded to assess not just what students know but also what they can do, and is embedded in ways that inform instruction on an ongoing basis. Further, a knowledge-based economy requires assessment of higher-order thinking skills such as analysis, synthesis, and transfer; along with "non-cognitive" capacities such as mindset, persistence, and other qualities. New forms of assessments must be developed for these purposes and tested for their benefits to students. Assessments are also needed to measure what is learned outside the classroom, such as through previous work experience, workplace or community-based experiences, and other high impact engagements.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Facilitating Pathways to Credentialing and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develop and implement systems and practices to capture and aggregate credit or other evidence of knowledge and skills towards postsecondary degrees or credentials through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Seamless transfer of credits between postsecondary institutions;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Validation and transfer of credit for learning or learning experiences from non-institutional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Students obtain knowledge and skills through a variety of experiences and from a range of institutions and providers. Many postsecondary students attend more than one institution on their way to earning a certificate or degree. Further, many student learning experiences, such as learning that occurs through work experience or from non-traditional education providers, are simply not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systems and methods of assessing, aggregating, and credentialing learning experiences are needed to help more students reach completion in accelerated timeframes. Additionally, new systems of portable, stackable postsecondary degrees and credentials along transparent career pathways must be designed and opportunities to obtain such degrees and credential must be expanded.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2015,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five points to an application, depending how well the application meets this priority. Applicants must clearly mark the Abstract and Information page in the application package if they intend to address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Given the limited resources of secondary schools, institutions of higher education, and other relevant stakeholders, the cost effectiveness of any intervention designed to improve student outcomes is of primary importance. In recent years, numerous institutions, researchers, and others have begun testing interventions that are relatively low cost but have the ability to have a high impact on student outcomes. Many of these interventions minimize cost through the use of technology, such as digital messaging or predictive analytics to target interventions. Others incorporate low cost approaches, such as non-cognitive interventions. We are particularly interested in effective low cost interventions because even institutions with limited resources would be able to scale such strategies to impact large numbers of students, and, such interventions, particularly those that use technology, are often easily replicable.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Implementing Low Cost-High Impact Strategies To Improve Student Outcomes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that use low-cost tools or strategies, such as those that use technology, that result in a high impact on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selection criteria for the FY 2015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designed to ensure that applications selected for funding have the best potential to generate substantial improvements and research in student outcomes, and include well-articulated plans for the implementation, dissemination,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requirements are from the NFP and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Innovations That Improve Outcomes for High-Need Students:</w:t>
      </w:r>
      <w:r>
        <w:rPr>
          <w:rFonts w:ascii="arial" w:eastAsia="arial" w:hAnsi="arial" w:cs="arial"/>
          <w:b w:val="0"/>
          <w:i w:val="0"/>
          <w:strike w:val="0"/>
          <w:noProof w:val="0"/>
          <w:color w:val="000000"/>
          <w:position w:val="0"/>
          <w:sz w:val="20"/>
          <w:u w:val="none"/>
          <w:vertAlign w:val="baseline"/>
        </w:rPr>
        <w:t xml:space="preserve"> Grantees must implement projects designed to improve one or more of the following outcomes of high-need students (as defined in this notice) in postsecondary education: Persistence, academic progress, time to degree or and completion.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Development grant must be supported by Strong theory (as defined in </w:t>
      </w:r>
      <w:hyperlink r:id="rId9"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Independent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grantee must conduct an Independent Evaluation (as defined in this notice) of its project. The evaluation must estimate the impact of the FITW-supported practice (as implemented at the proposed level of scale) on a relevant outcome (as defined in </w:t>
      </w:r>
      <w:hyperlink r:id="rId9"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grantee and its independent evaluator must agree to cooperate on an ongoing basis with any technical assistance provided by the Department or its contractor, including any technical assistance provided to ensure that the evaluation design meets the required evaluation standards,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and provide the updated evaluation plan to the Department. All of these updates must be consistent with the scope and objectives of the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FITW grant (Development or Validation) for which it applies. Applicants may not apply for a FITW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which they currently have an active FITW grant. An applicant may submit only one FITW application in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 and provide the updated management plan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NFP and from </w:t>
      </w:r>
      <w:hyperlink r:id="rId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apply </w:t>
      </w:r>
      <w:r>
        <w:rPr>
          <w:rFonts w:ascii="arial" w:eastAsia="arial" w:hAnsi="arial" w:cs="arial"/>
          <w:b/>
          <w:i w:val="0"/>
          <w:strike w:val="0"/>
          <w:noProof w:val="0"/>
          <w:color w:val="000000"/>
          <w:position w:val="0"/>
          <w:sz w:val="20"/>
          <w:u w:val="none"/>
          <w:vertAlign w:val="baseline"/>
        </w:rPr>
        <w:t> [*27052] </w:t>
      </w:r>
      <w:r>
        <w:rPr>
          <w:rFonts w:ascii="arial" w:eastAsia="arial" w:hAnsi="arial" w:cs="arial"/>
          <w:b w:val="0"/>
          <w:i w:val="0"/>
          <w:strike w:val="0"/>
          <w:noProof w:val="0"/>
          <w:color w:val="000000"/>
          <w:position w:val="0"/>
          <w:sz w:val="20"/>
          <w:u w:val="none"/>
          <w:vertAlign w:val="baseline"/>
        </w:rPr>
        <w:t xml:space="preserve"> to the priorities, requirements, and selection criteria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adult learners, working students, part-time students, students from low-income backgrounds, students of color, first-generation students, students with disabilities, and students who are English learners.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does not limit the definition of high-need students to this list. This list is illustrative and may include other categories of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w:t>
      </w:r>
      <w:r>
        <w:rPr>
          <w:rFonts w:ascii="arial" w:eastAsia="arial" w:hAnsi="arial" w:cs="arial"/>
          <w:b w:val="0"/>
          <w:i w:val="0"/>
          <w:strike w:val="0"/>
          <w:noProof w:val="0"/>
          <w:color w:val="000000"/>
          <w:position w:val="0"/>
          <w:sz w:val="20"/>
          <w:u w:val="none"/>
          <w:vertAlign w:val="baseline"/>
        </w:rPr>
        <w:t xml:space="preserve"> as applied to an agency, organization, or institution, means that it is owned and operated by one or more corporations or associations whose net earnings do not benefit, and cannot lawfully benefit, any private shareholder or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0"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1138d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$ 60,000,000 total for the FITW program, with up to $ 16,000,000 set aside for Minority-Serving Institutions (MSIs), in accordance with the Joint Explanatory Statement accompanying the Consolidated and Further Continuing Appropriations Act of 2015. In implementing this set aside, the Department may fund high-quality applications from MSIs out of rank order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Development grants, Validation grants or in both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plan to allocate at least $ 20 million for Development grants but the actual amount will depend on the quality of the proposals for both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$ 1,000,000 to $ 3,000,000.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fund any application that proposes a budget exceeding $ 3,000,000 for a single budget period of 48-months. The Assistant Secretary for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6 to 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Institutions of higher education, combinations of such institutions, and other public and private nonprofit institutions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an eligible MSI under the FITW Program, an institution of higher education must meet one of two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criterion includes: Current eligibility approval as defined by the Department's FY 2015 eligibility process for Title III and/or Title V of the Higher Education Act of 1965, as amended; an open grant under one of the Department's Title III, Parts A and F and/or Title V programs; or a designation as a Historically Black College or University or a Tribally Controlled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includes: Specific enrollment percentages for minority students served; and, if applicable, needy student and educational and general expenditure criteria for determining income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information on MSI eligibility is in the application package under the section entitled </w:t>
      </w:r>
      <w:r>
        <w:rPr>
          <w:rFonts w:ascii="arial" w:eastAsia="arial" w:hAnsi="arial" w:cs="arial"/>
          <w:b w:val="0"/>
          <w:i/>
          <w:strike w:val="0"/>
          <w:noProof w:val="0"/>
          <w:color w:val="000000"/>
          <w:position w:val="0"/>
          <w:sz w:val="20"/>
          <w:u w:val="none"/>
          <w:vertAlign w:val="baseline"/>
        </w:rPr>
        <w:t>Eligibility.</w:t>
      </w:r>
      <w:r>
        <w:rPr>
          <w:rFonts w:ascii="arial" w:eastAsia="arial" w:hAnsi="arial" w:cs="arial"/>
          <w:b w:val="0"/>
          <w:i w:val="0"/>
          <w:strike w:val="0"/>
          <w:noProof w:val="0"/>
          <w:color w:val="000000"/>
          <w:position w:val="0"/>
          <w:sz w:val="20"/>
          <w:u w:val="none"/>
          <w:vertAlign w:val="baseline"/>
        </w:rPr>
        <w:t xml:space="preserve"> The Department will screen the applications to verify MSI eligibility based on these criteria and, if applicable, will use the most recent Integrated Postsecondary Education Data System data. In the event an application does not qualify for MSI eligibility, it will still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3" w:history="1">
        <w:r>
          <w:rPr>
            <w:rFonts w:ascii="arial" w:eastAsia="arial" w:hAnsi="arial" w:cs="arial"/>
            <w:b w:val="0"/>
            <w:i/>
            <w:strike w:val="0"/>
            <w:noProof w:val="0"/>
            <w:color w:val="0077CC"/>
            <w:position w:val="0"/>
            <w:sz w:val="20"/>
            <w:u w:val="single"/>
            <w:vertAlign w:val="baseline"/>
          </w:rPr>
          <w:t>www.ed.gov/</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[*27053] </w:t>
      </w:r>
      <w:r>
        <w:rPr>
          <w:rFonts w:ascii="arial" w:eastAsia="arial" w:hAnsi="arial" w:cs="arial"/>
          <w:b w:val="0"/>
          <w:i/>
          <w:strike w:val="0"/>
          <w:noProof w:val="0"/>
          <w:color w:val="000000"/>
          <w:position w:val="0"/>
          <w:sz w:val="20"/>
          <w:u w:val="none"/>
          <w:vertAlign w:val="baseline"/>
        </w:rPr>
        <w:t xml:space="preserve"> fund/grant/apply/grantapp/index.html.</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also can contact ED Pubs at its Web site: </w:t>
      </w:r>
      <w:hyperlink r:id="rId1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84.116F.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reviewers use to evaluate your application. You must limit the section of the application narrative that addresses: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criteria to no more than 30 pages,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no more than 2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no circumstances may the application narrative exceed 32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include a separate heading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you choose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determining compliance with the 32-page limit, each page on which there are words will be counted as one full page. Applicants must use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endnotes, quotations, references, and captions. Charts, tables, figures, and graphs in the application may be single spaced.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graphs, footnotes, and endnotes.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32-page limit does not apply to Part I, the cover sheet, the table of contents; Part II, the budget section, including the narrative budget justification; Part IV, the assurances and certifications; or Abstract and Information page, the resumes (three-page limit per resume), the citations or full studies, appendix, or letters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include any attachments or appendices not specifically requested and required for the application, these items will be counted as part of the narrative for the purposes of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w:t>
      </w:r>
      <w:r>
        <w:rPr>
          <w:rFonts w:ascii="arial" w:eastAsia="arial" w:hAnsi="arial" w:cs="arial"/>
          <w:b/>
          <w:i w:val="0"/>
          <w:strike w:val="0"/>
          <w:noProof w:val="0"/>
          <w:color w:val="000000"/>
          <w:position w:val="0"/>
          <w:sz w:val="20"/>
          <w:u w:val="none"/>
          <w:vertAlign w:val="baseline"/>
        </w:rPr>
        <w:t> [*27054] </w:t>
      </w:r>
      <w:r>
        <w:rPr>
          <w:rFonts w:ascii="arial" w:eastAsia="arial" w:hAnsi="arial" w:cs="arial"/>
          <w:b w:val="0"/>
          <w:i w:val="0"/>
          <w:strike w:val="0"/>
          <w:noProof w:val="0"/>
          <w:color w:val="000000"/>
          <w:position w:val="0"/>
          <w:sz w:val="20"/>
          <w:u w:val="none"/>
          <w:vertAlign w:val="baseline"/>
        </w:rPr>
        <w:t xml:space="preserve"> (AOR), and (2) register yourself with Grants.gov as an AOR. Details on these steps are outlined at the following Grants.gov Web page: </w:t>
      </w:r>
      <w:hyperlink r:id="rId1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First in the World Program, CFDA number 84.116F, must be submitted electronically using the Governmentwide Grants.gov Apply site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First in the World Program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84.116, not 84.116F).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1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 </w:t>
      </w:r>
      <w:r>
        <w:rPr>
          <w:rFonts w:ascii="arial" w:eastAsia="arial" w:hAnsi="arial" w:cs="arial"/>
          <w:b/>
          <w:i w:val="0"/>
          <w:strike w:val="0"/>
          <w:noProof w:val="0"/>
          <w:color w:val="000000"/>
          <w:position w:val="0"/>
          <w:sz w:val="20"/>
          <w:u w:val="none"/>
          <w:vertAlign w:val="baseline"/>
        </w:rPr>
        <w:t> [*27055]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Gary Thomas, First in the World, U.S. Department of Education, 1990 K Street NW., Room 6153, Washington, DC 20006-8544. FAX: (202) 502-7877.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84.116F,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84.116F,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following selection criteria for this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points assigned to each criterion are indicated in parentheses. We will award up to a total of 100 points to an application under the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Significance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contribution of the proposed project to increased knowledge or understanding of education problems, issues, or effective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involves the development or demonstration of promising new strategies that build on, or are alternatives to, existing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replicability of the proposed project or strategies, including, as appropriate, the potential for implementation in a variety of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Quality of the Project Design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design of the proposed project is appropriate to, and will successfully address, the needs of the target population or other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there is a conceptual framework underlying the proposed research or demonstration activities and the quality of that framework.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Adequacy of Resources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support, including facilities, equipment, supplies, and other resources, from the applicant organization or the lead applicant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objectives, design, and potential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qualifications, including relevant training and experience, of the key project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the Project Evaluation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methods of evaluation will, if well implemented, produce evidence about the project's </w:t>
      </w:r>
      <w:r>
        <w:rPr>
          <w:rFonts w:ascii="arial" w:eastAsia="arial" w:hAnsi="arial" w:cs="arial"/>
          <w:b/>
          <w:i w:val="0"/>
          <w:strike w:val="0"/>
          <w:noProof w:val="0"/>
          <w:color w:val="000000"/>
          <w:position w:val="0"/>
          <w:sz w:val="20"/>
          <w:u w:val="none"/>
          <w:vertAlign w:val="baseline"/>
        </w:rPr>
        <w:t> [*27056] </w:t>
      </w:r>
      <w:r>
        <w:rPr>
          <w:rFonts w:ascii="arial" w:eastAsia="arial" w:hAnsi="arial" w:cs="arial"/>
          <w:b w:val="0"/>
          <w:i w:val="0"/>
          <w:strike w:val="0"/>
          <w:noProof w:val="0"/>
          <w:color w:val="000000"/>
          <w:position w:val="0"/>
          <w:sz w:val="20"/>
          <w:u w:val="none"/>
          <w:vertAlign w:val="baseline"/>
        </w:rPr>
        <w:t xml:space="preserve"> effectiveness that would meet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if well-implemented, produce evidence about the project's effectiveness that would meet the What Works Clearinghouse Evidence Standards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Successful applications will be those that have an evaluation design that has the potential to meet the What Works Clearinghouse Evidence Standards with or without reservations. The What Works Clearinghouse Procedures and Standards Handbook describes in detail which types of study designs can meet WWC Evidence Standards with or without reservations including both quasi-experimental design studies and randomized controlled trials (as defined in this notice). The response to this selection criterion should include a description of the total unduplicated number of students involved in the project. The term project consultants include the person or firm conducting the independent evaluation (as defined in this notice). The applicant is encouraged to select an evaluator with experience in the design and management of evaluations designed to meet What Works Clearinghouse Evidence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eligible applicants to review the following technical assistance resources on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What Works Clearinghouse Procedures and Standards Handbook: </w:t>
      </w:r>
      <w:hyperlink r:id="rId21"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IES/NCEE Technical Methods papers: </w:t>
      </w:r>
      <w:hyperlink r:id="rId22"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making awards, we will screen applications submitted in accordance with the requirements in this notice to determine which applications meet the eligibility requirements. This screening process may occur at various stages of the application review process; applicants that are determined ineligible will not be considered further or be awarded a grant. For the application review process, we will use independent peer reviewers with varied backgrounds and professions in postsecondary education including college and university educators, researchers and evaluators, strategy consultants, grant makers and managers, and others with postsecondary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FITW Development grant applications the Department will use a two-tier review process to review and score eligible applications. Content reviewers will review and score eligible applications on the three selection criteria: A. Significance; B. Quality of the Project Design; and C. Adequacy of Resources. These reviewers will also review and score the applications which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Eligible applications that score highly on these three selection criteria will have the remaining criterion, D. Quality of the Project Evaluation, reviewed and scored by a different panel of peer reviewers with evaluation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there are two or more applications with the same final score and there are insufficient funds to fully support these applications, the Department will consider an equitable distribution of grants among geographic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29"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Federal investment of these funds has as broad an impact as possible and to encourage innovation in the development of new learning materials, FITW grantees will be required to license to the public all intellectual property (except for computer software source code, discussed below) created with the support of grant funds, including both new content created with grant funds and modifications made to pre-existing, grantee-owned content using grant funds. That license must be worldwide, non-exclusive, royalty-free, perpetual, irrevocable, and grant the public permission to access, reproduce, publicly perform, publicly display, adapt, distribute, and otherwise use the intellectual property referenced above (except for computer software source code, discussed below) for any purposes, conditioned only on the requirement that attribution be given to authors as designated. Further, the Department requires that all computer software source code developed or created with FITW funds will be released under an intellectual property license that allows others to freely use and build upon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0"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1"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2"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13" w:history="1">
        <w:r>
          <w:rPr>
            <w:rFonts w:ascii="arial" w:eastAsia="arial" w:hAnsi="arial" w:cs="arial"/>
            <w:b w:val="0"/>
            <w:i/>
            <w:strike w:val="0"/>
            <w:noProof w:val="0"/>
            <w:color w:val="0077CC"/>
            <w:position w:val="0"/>
            <w:sz w:val="20"/>
            <w:u w:val="single"/>
            <w:vertAlign w:val="baseline"/>
          </w:rPr>
          <w:t>www.ed.gov/</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[*27057] </w:t>
      </w:r>
      <w:r>
        <w:rPr>
          <w:rFonts w:ascii="arial" w:eastAsia="arial" w:hAnsi="arial" w:cs="arial"/>
          <w:b w:val="0"/>
          <w:i/>
          <w:strike w:val="0"/>
          <w:noProof w:val="0"/>
          <w:color w:val="000000"/>
          <w:position w:val="0"/>
          <w:sz w:val="20"/>
          <w:u w:val="none"/>
          <w:vertAlign w:val="baseline"/>
        </w:rPr>
        <w:t xml:space="preserve"> fund/grant/apply/appforms/appforms.html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will use the following performance measures in assessing the successful performance of FIPSE's FITW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extent to which funded projects are replicated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adopted or adapted by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extent to which projects are institutionalized and continued after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extent to which the metrics used to assess and evaluate project results measure performance under the absolute priority the project is designed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projects supported by FITW grants that produce evidence of their effectiveness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meet What Works Clearinghouse Evidence Standards with or without reservations) at improving student outcomes and college affordability, especially for low-income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projects supported by FITW grants that provide high-quality implementation data and performance feedback that allow for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cost per student served by FITW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cost per successful student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funded, you will be asked to collect and report data from your project on steps taken toward achieving the outcomes evaluated by these performance measures. Consequently, applicants are advised to include these outcomes in conceptualizing the design, implementation, and evaluation of their proposed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Gary Thomas, U.S. Department of Education, 1990 K Street NW., Room 6153, Washington, DC 20006-8544. Telephone: 202-502-7677. You may send emails to </w:t>
      </w:r>
      <w:hyperlink r:id="rId33" w:history="1">
        <w:r>
          <w:rPr>
            <w:rFonts w:ascii="arial" w:eastAsia="arial" w:hAnsi="arial" w:cs="arial"/>
            <w:b w:val="0"/>
            <w:i/>
            <w:strike w:val="0"/>
            <w:noProof w:val="0"/>
            <w:color w:val="0077CC"/>
            <w:position w:val="0"/>
            <w:sz w:val="20"/>
            <w:u w:val="single"/>
            <w:vertAlign w:val="baseline"/>
          </w:rPr>
          <w:t>OPEFITWdevlopment@ed.gov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2015-11336 Filed 5-8-15;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27050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es.ed.gov/ncee/wwc/DocumentSum.aspx?sid=19" TargetMode="External" /><Relationship Id="rId11" Type="http://schemas.openxmlformats.org/officeDocument/2006/relationships/hyperlink" Target="https://advance.lexis.com/api/document?collection=statutes-legislation&amp;id=urn:contentItem:4YF7-GN91-NRF4-42W2-00000-00&amp;context=" TargetMode="External" /><Relationship Id="rId12" Type="http://schemas.openxmlformats.org/officeDocument/2006/relationships/hyperlink" Target="https://advance.lexis.com/api/document?collection=statutes-legislation&amp;id=urn:contentItem:4YF7-GK91-NRF4-43SG-00000-00&amp;context=" TargetMode="External" /><Relationship Id="rId13" Type="http://schemas.openxmlformats.org/officeDocument/2006/relationships/hyperlink" Target="http://www.ed.gov/" TargetMode="External" /><Relationship Id="rId14" Type="http://schemas.openxmlformats.org/officeDocument/2006/relationships/hyperlink" Target="http://www.EDPubs.gov" TargetMode="External" /><Relationship Id="rId15" Type="http://schemas.openxmlformats.org/officeDocument/2006/relationships/hyperlink" Target="mailto:edpubs@inet.ed.gov" TargetMode="External" /><Relationship Id="rId16" Type="http://schemas.openxmlformats.org/officeDocument/2006/relationships/hyperlink" Target="http://www.SAM.gov" TargetMode="External" /><Relationship Id="rId17" Type="http://schemas.openxmlformats.org/officeDocument/2006/relationships/hyperlink" Target="http://www.grants.gov/web/grants/register.html" TargetMode="External" /><Relationship Id="rId18" Type="http://schemas.openxmlformats.org/officeDocument/2006/relationships/hyperlink" Target="http://www.Grants.gov" TargetMode="External" /><Relationship Id="rId19" Type="http://schemas.openxmlformats.org/officeDocument/2006/relationships/hyperlink" Target="http://www.G5.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7T-7HS0-008H-02VY-00000-00&amp;context=" TargetMode="External" /><Relationship Id="rId21" Type="http://schemas.openxmlformats.org/officeDocument/2006/relationships/hyperlink" Target="http://ies.ed.gov/ncee/wwc/references/idocviewer/doc.aspx?docid=19&amp;tocid=1" TargetMode="External" /><Relationship Id="rId22" Type="http://schemas.openxmlformats.org/officeDocument/2006/relationships/hyperlink" Target="http://ies.ed.gov/ncee/tech_methods/" TargetMode="External" /><Relationship Id="rId23" Type="http://schemas.openxmlformats.org/officeDocument/2006/relationships/hyperlink" Target="https://advance.lexis.com/api/document?collection=administrative-codes&amp;id=urn:contentItem:5GMB-DPB0-008H-02GP-00000-00&amp;context=" TargetMode="External" /><Relationship Id="rId24" Type="http://schemas.openxmlformats.org/officeDocument/2006/relationships/hyperlink" Target="https://advance.lexis.com/api/document?collection=administrative-codes&amp;id=urn:contentItem:5KS0-F5W0-008H-023P-00000-00&amp;context=" TargetMode="External" /><Relationship Id="rId25" Type="http://schemas.openxmlformats.org/officeDocument/2006/relationships/hyperlink" Target="https://advance.lexis.com/api/document?collection=administrative-codes&amp;id=urn:contentItem:5R5H-J1H0-008H-043K-00000-00&amp;context=" TargetMode="External" /><Relationship Id="rId26" Type="http://schemas.openxmlformats.org/officeDocument/2006/relationships/hyperlink" Target="https://advance.lexis.com/api/document?collection=administrative-codes&amp;id=urn:contentItem:5KS0-F5W0-008H-024V-00000-00&amp;context=" TargetMode="External" /><Relationship Id="rId27" Type="http://schemas.openxmlformats.org/officeDocument/2006/relationships/hyperlink" Target="https://advance.lexis.com/api/document?collection=administrative-codes&amp;id=urn:contentItem:5KS0-F600-008H-02PT-00000-00&amp;context=" TargetMode="External" /><Relationship Id="rId28" Type="http://schemas.openxmlformats.org/officeDocument/2006/relationships/hyperlink" Target="https://advance.lexis.com/api/document?collection=administrative-codes&amp;id=urn:contentItem:5KS0-F5W0-008H-025B-00000-00&amp;context=" TargetMode="External" /><Relationship Id="rId29" Type="http://schemas.openxmlformats.org/officeDocument/2006/relationships/hyperlink" Target="https://advance.lexis.com/api/document?collection=administrative-codes&amp;id=urn:contentItem:5F34-Y1R0-008G-Y1F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2R-48P0-008G-Y31V-00000-00&amp;context=" TargetMode="External" /><Relationship Id="rId31" Type="http://schemas.openxmlformats.org/officeDocument/2006/relationships/hyperlink" Target="https://advance.lexis.com/api/document?collection=administrative-codes&amp;id=urn:contentItem:5GMB-DPC0-008H-02S7-00000-00&amp;context=" TargetMode="External" /><Relationship Id="rId32" Type="http://schemas.openxmlformats.org/officeDocument/2006/relationships/hyperlink" Target="https://advance.lexis.com/api/document?collection=administrative-codes&amp;id=urn:contentItem:5GMB-DPC0-008H-02SK-00000-00&amp;context=" TargetMode="External" /><Relationship Id="rId33" Type="http://schemas.openxmlformats.org/officeDocument/2006/relationships/hyperlink" Target="mailto:OPEFITWdevlopment@ed.gov" TargetMode="External" /><Relationship Id="rId34" Type="http://schemas.openxmlformats.org/officeDocument/2006/relationships/hyperlink" Target="http://www.gpo.gov/fdsys" TargetMode="External" /><Relationship Id="rId35" Type="http://schemas.openxmlformats.org/officeDocument/2006/relationships/hyperlink" Target="http://www.federalregister.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YM-BP10-006W-82P1-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S7T-7HV0-008H-03H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