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27057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090, Part III, Monday, May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27057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First in the World Program--Validation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 for the Improvement of Postsecondary Education (FIPSE)--First in the World (FITW) Program--Validation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84.116X.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31,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FITW program is designed to support the development, replication, and dissemination of innovative solutions and evidence for what works in addressing persistent and widespread challenges in postsecondary education for students who are at risk for not persisting in and completing postsecondary programs, including, but not limited to, adult learners, working students, part-time students, students from low-income backgrounds, students of color, students with disabilities, and first-generation students. The focus of the FITW program is to build evidence for what works in postsecondary education by testing the effectiveness of these strategies in improving student persistence and completion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2015, the Department will award two types of grants under FITW: "Development" grants and "Validation" grants. These grants differ in terms of the level of evidence of effectiveness required for consideration of funding, the level of scale the funded project should reach, and, consequently, the amount of funding available to support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invites applications for Validation grants only. Validation grants provide funding to support the expansion and replication of projects supported by moderate evidence of effectiveness (as defined in this notice) to a scaled multi-site sample (as defined in this notice), which would include multiple institutions of higher education, including multiple institutions within a State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Validation grantees must evaluate the effectiveness of the project at each partner entity. The evaluation design will be assessed on the extent to which it could meet What Works Clearinghouse Evidence Standards (as defined in this notice)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published a separate notice inviting applications for Development grants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four absolute priorities. The first three absolute priorities are from the notice of final priorities, requirements, definitions, and selection criterion for this program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fourth absolute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w:t>
      </w:r>
      <w:r>
        <w:rPr>
          <w:rFonts w:ascii="arial" w:eastAsia="arial" w:hAnsi="arial" w:cs="arial"/>
          <w:b/>
          <w:i w:val="0"/>
          <w:strike w:val="0"/>
          <w:noProof w:val="0"/>
          <w:color w:val="000000"/>
          <w:position w:val="0"/>
          <w:sz w:val="20"/>
          <w:u w:val="none"/>
          <w:vertAlign w:val="baseline"/>
        </w:rPr>
        <w:t> [*27058] </w:t>
      </w:r>
      <w:r>
        <w:rPr>
          <w:rFonts w:ascii="arial" w:eastAsia="arial" w:hAnsi="arial" w:cs="arial"/>
          <w:b w:val="0"/>
          <w:i w:val="0"/>
          <w:strike w:val="0"/>
          <w:noProof w:val="0"/>
          <w:color w:val="000000"/>
          <w:position w:val="0"/>
          <w:sz w:val="20"/>
          <w:u w:val="none"/>
          <w:vertAlign w:val="baseline"/>
        </w:rPr>
        <w:t xml:space="preserve"> only applications that address one of the four absolute priorities. Applicants must specify on the Abstract and Information page which absolute priority is addressed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Absolute Priority 1: Improving Success in Developmental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improve student success in developmental education or accelerate student progress into credit-bearing postsecondary courses.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Many students arrive at college unprepared for college-level coursework. They often lack the critical thinking, analytical, and communication skills needed for success in college and preparation for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invites applications for evidence-based interventions and solutions that engage students more quickly in credit-bearing courses, such as streamlined approaches through GED equivalency or high school credential equivalency for adult learners to allow them to begin taking formal postsecondary coursework.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Absolute Priority 2: Improving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designed to improve teaching and learning.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Methods of teaching have stayed largely static, with the traditional lecture as the core instructional design. New approaches to teaching and learning that incorporate curriculum and course re-design, such as by using tools and strategies that go beyond the traditional lecture to support active learning or customize learning, must be tested and expanded to more postsecondary institutions to improve accessibility and quality and reduce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Absolute Priority 3: Improving Student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designed to improve the supports or services provided to students prior to or during the students' enrollment in postsecondary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Almost all institutions of higher education offer a diverse array of student support services to assist with financial aid, academic barriers and other issues related to persistence and completion. The range of services and support is extensive and includes interventions both inside and outside the classroom and campus. Many of these services are also provided by outside organizations, including non-profits.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few student support services strategies are widely implemented on the basis of evidence of effectiveness. There is a great need to expand validated cost effective approaches, so that a greater number of students can be 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Absolute Priority 4: Influencing the Development of Non-Cognitive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that are designed to improve students' mastery of non-cognitive skills and behaviors (such as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and enhance student motivation and engagement in learning.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development of non-cognitive factors is critical during the postsecondary years as students face new academic challenges, social comparisons, and stereotypes regarding their potential for success. How students negotiate these changes has major implications for their academic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for the FY 2015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designed to ensure that applications selected for funding have the best potential to generate substantial improvements and research in student outcomes, and include well-articulated plans for the implementation, dissemination,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should note that we screen for eligibility at multiple points before, during, and after the review process. Applicants that are determined to be ineligible at any point in the review process will not receive a grant award regardless of peer reviewer scores or comments. If we determine that a Validation grant application is not supported by moderate evidence of effectiveness, either because the study submitted does not meet the standard or is not closely relevant to the proposed project, the application will not be considered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requirements are from the NFP and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Innovations that Improve Outcomes for High-Need Students:</w:t>
      </w:r>
      <w:r>
        <w:rPr>
          <w:rFonts w:ascii="arial" w:eastAsia="arial" w:hAnsi="arial" w:cs="arial"/>
          <w:b w:val="0"/>
          <w:i w:val="0"/>
          <w:strike w:val="0"/>
          <w:noProof w:val="0"/>
          <w:color w:val="000000"/>
          <w:position w:val="0"/>
          <w:sz w:val="20"/>
          <w:u w:val="none"/>
          <w:vertAlign w:val="baseline"/>
        </w:rPr>
        <w:t xml:space="preserve"> Grantees must implement projects designed to improve one or more of the following outcomes of high-need students (as defined in this notice)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Academic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Time to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Evidence and Sample Size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An application for a Validation grant must be supported by moderate evidence of effectiveness (as defined in </w:t>
      </w:r>
      <w:hyperlink r:id="rId1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application for a Validation grant must be supported by the following level of sample size: Scaled multi-site sample, such as across a system of institutions, across institutions in a State, a region, or nationally, or across institutions in a labor market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applicant's project must propose to implement the core aspects of the process, product, strategy, or practice from the supporting study as closely as possible. Where modifications to a cited process, product, strategy, or practice will be made to account for student or institutional characteristics, resource limitations, or other special factors or to address deficiencies identified by the cited study, the applicant must provide a justification or basis for the modifications. Modifications may not be proposed to the core aspects of any cited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grantee must conduct an independent evaluation (as defined in this notice) of its project. The evaluation must estimate the impact of the FITW-supported practice (as implemented at the proposed level of scale) on a relevant outcome (as defined in </w:t>
      </w:r>
      <w:hyperlink r:id="rId1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grantee and its independent evaluator must agree to cooperate on an ongoing basis with any technical assistance provided by the Department or its contractor, including any technical assistance provided to ensure that the evaluation design meets the required evaluation standards,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and provide the updated evaluation plan to the Department. All of these updates must be consistent with the scope and objectives of the approved application. </w:t>
      </w:r>
      <w:r>
        <w:rPr>
          <w:rFonts w:ascii="arial" w:eastAsia="arial" w:hAnsi="arial" w:cs="arial"/>
          <w:b/>
          <w:i w:val="0"/>
          <w:strike w:val="0"/>
          <w:noProof w:val="0"/>
          <w:color w:val="000000"/>
          <w:position w:val="0"/>
          <w:sz w:val="20"/>
          <w:u w:val="none"/>
          <w:vertAlign w:val="baseline"/>
        </w:rPr>
        <w:t> [*27059]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FITW grant (Development or Validation) for which it applies. Applicants may not apply for a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which they currently have an active FITW grant. An applicant may submit only one FITW application in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 and provide the updated management plan to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NFP and from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apply to the priorities, requirements, and selection criteria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adult learners, working students, part-time students, students from low-income backgrounds, students of color, first-generation students, students with disabilities, and students who are English learners.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does not limit the definition of high-need students to this list. This list is illustrative and may include other categories of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Higher Education Act of 1965, as amended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(as defined in this notice)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There is at least one study of the effectiveness of the process, product, strategy, or practice being proposed that meets the What Works Clearinghouse Evidence Standards with reservations, found a statistically significant favorable impact on a relevant outcome (as defined in this notice)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(as defined in this notice) and a multi-site sample (as defined in this notice).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 local educational agency,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w:t>
      </w:r>
      <w:r>
        <w:rPr>
          <w:rFonts w:ascii="arial" w:eastAsia="arial" w:hAnsi="arial" w:cs="arial"/>
          <w:b w:val="0"/>
          <w:i w:val="0"/>
          <w:strike w:val="0"/>
          <w:noProof w:val="0"/>
          <w:color w:val="000000"/>
          <w:position w:val="0"/>
          <w:sz w:val="20"/>
          <w:u w:val="none"/>
          <w:vertAlign w:val="baseline"/>
        </w:rPr>
        <w:t xml:space="preserve"> as applied to an agency, organization, or institution, means that it is owned and operated by one or more corporations or associations whose net earnings do not benefit, and cannot lawfully benefit any private shareholder or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1"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1138d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NFP.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Available Funds:</w:t>
      </w:r>
      <w:r>
        <w:rPr>
          <w:rFonts w:ascii="arial" w:eastAsia="arial" w:hAnsi="arial" w:cs="arial"/>
          <w:b w:val="0"/>
          <w:i w:val="0"/>
          <w:strike w:val="0"/>
          <w:noProof w:val="0"/>
          <w:color w:val="000000"/>
          <w:position w:val="0"/>
          <w:sz w:val="20"/>
          <w:u w:val="none"/>
          <w:vertAlign w:val="baseline"/>
        </w:rPr>
        <w:t xml:space="preserve"> $ 60,000,000 total for the FITW program, with up to $ 16,000,000 set aside for Minority-Serving Institutions (MSIs), in accordance with the Joint Explanatory Statement accompanying the Consolidated and Further Continuing Appropriations Act of 2015. In implementing this set aside, the Department may fund applications from MSIs out of rank order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Development grants or in both. We may allocate up to $ 40 million for Validation grants but the actual amount will </w:t>
      </w:r>
      <w:r>
        <w:rPr>
          <w:rFonts w:ascii="arial" w:eastAsia="arial" w:hAnsi="arial" w:cs="arial"/>
          <w:b/>
          <w:i w:val="0"/>
          <w:strike w:val="0"/>
          <w:noProof w:val="0"/>
          <w:color w:val="000000"/>
          <w:position w:val="0"/>
          <w:sz w:val="20"/>
          <w:u w:val="none"/>
          <w:vertAlign w:val="baseline"/>
        </w:rPr>
        <w:t> [*27060] </w:t>
      </w:r>
      <w:r>
        <w:rPr>
          <w:rFonts w:ascii="arial" w:eastAsia="arial" w:hAnsi="arial" w:cs="arial"/>
          <w:b w:val="0"/>
          <w:i w:val="0"/>
          <w:strike w:val="0"/>
          <w:noProof w:val="0"/>
          <w:color w:val="000000"/>
          <w:position w:val="0"/>
          <w:sz w:val="20"/>
          <w:u w:val="none"/>
          <w:vertAlign w:val="baseline"/>
        </w:rPr>
        <w:t xml:space="preserve"> depend on the quality of the proposals in the Development and Validation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$ 6,000,000 to $ 10,000,000.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$ 7,000,000.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make an award for any application above the maximum award of $ 10,000,000 for a single budget period of 48 months. The Assistant Secretary for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Institutions of higher education, combinations of such institutions, and other public and private nonprofit institutions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an eligible MSI under the FITW program, an institution of higher education must meet one of two criteria. The first criterion includes: Current eligibility approval as defined by the Department's FY 2015 eligibility process for Title III and/or Title V of the Higher Education Act of 1965, as amended; an open grant under one of the Department's Title III, Parts A and F and/or Title V programs; or a designation as a Historically Black College of University or a Tribally Controlled College. The second criterion includes: Specific enrollment percentages for minority students served; and, if applicable, needy student and educational and general expenditure criteria for determining income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MSI eligibility is in the application package under the section entitled </w:t>
      </w:r>
      <w:r>
        <w:rPr>
          <w:rFonts w:ascii="arial" w:eastAsia="arial" w:hAnsi="arial" w:cs="arial"/>
          <w:b w:val="0"/>
          <w:i/>
          <w:strike w:val="0"/>
          <w:noProof w:val="0"/>
          <w:color w:val="000000"/>
          <w:position w:val="0"/>
          <w:sz w:val="20"/>
          <w:u w:val="none"/>
          <w:vertAlign w:val="baseline"/>
        </w:rPr>
        <w:t>Eligibility.</w:t>
      </w:r>
      <w:r>
        <w:rPr>
          <w:rFonts w:ascii="arial" w:eastAsia="arial" w:hAnsi="arial" w:cs="arial"/>
          <w:b w:val="0"/>
          <w:i w:val="0"/>
          <w:strike w:val="0"/>
          <w:noProof w:val="0"/>
          <w:color w:val="000000"/>
          <w:position w:val="0"/>
          <w:sz w:val="20"/>
          <w:u w:val="none"/>
          <w:vertAlign w:val="baseline"/>
        </w:rPr>
        <w:t xml:space="preserve"> The Department will screen the applications to verify MSI eligibility based on these criteria and, if applicable, will use the most recent Integrated Postsecondary Educational Data Systems data. In the event an application does not qualify for MSI eligibility, it will still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4" w:history="1">
        <w:r>
          <w:rPr>
            <w:rFonts w:ascii="arial" w:eastAsia="arial" w:hAnsi="arial" w:cs="arial"/>
            <w:b w:val="0"/>
            <w:i/>
            <w:strike w:val="0"/>
            <w:noProof w:val="0"/>
            <w:color w:val="0077CC"/>
            <w:position w:val="0"/>
            <w:sz w:val="20"/>
            <w:u w:val="single"/>
            <w:vertAlign w:val="baseline"/>
          </w:rPr>
          <w:t>www.ed.gov/fund/grant/apply/grantapp/index.html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84.116X.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There is a limit for the application narrative of no more than 35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and information page, the resumes (three-page limit per resume), the bibliography, the appendices, or the letters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by the Department and, if you are awarded a grant, during the project period. </w:t>
      </w:r>
      <w:r>
        <w:rPr>
          <w:rFonts w:ascii="arial" w:eastAsia="arial" w:hAnsi="arial" w:cs="arial"/>
          <w:b/>
          <w:i w:val="0"/>
          <w:strike w:val="0"/>
          <w:noProof w:val="0"/>
          <w:color w:val="000000"/>
          <w:position w:val="0"/>
          <w:sz w:val="20"/>
          <w:u w:val="none"/>
          <w:vertAlign w:val="baseline"/>
        </w:rPr>
        <w:t> [*27061]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for the FITW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FITW program, CFDA number 84.116X (Validation grants), must be submitted electronically using the Governmentwide Grants.gov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FITW program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84.116, not 84.116X).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w:t>
      </w:r>
      <w:r>
        <w:rPr>
          <w:rFonts w:ascii="arial" w:eastAsia="arial" w:hAnsi="arial" w:cs="arial"/>
          <w:b/>
          <w:i w:val="0"/>
          <w:strike w:val="0"/>
          <w:noProof w:val="0"/>
          <w:color w:val="000000"/>
          <w:position w:val="0"/>
          <w:sz w:val="20"/>
          <w:u w:val="none"/>
          <w:vertAlign w:val="baseline"/>
        </w:rPr>
        <w:t> [*27062] </w:t>
      </w:r>
      <w:r>
        <w:rPr>
          <w:rFonts w:ascii="arial" w:eastAsia="arial" w:hAnsi="arial" w:cs="arial"/>
          <w:b w:val="0"/>
          <w:i w:val="0"/>
          <w:strike w:val="0"/>
          <w:noProof w:val="0"/>
          <w:color w:val="000000"/>
          <w:position w:val="0"/>
          <w:sz w:val="20"/>
          <w:u w:val="none"/>
          <w:vertAlign w:val="baseline"/>
        </w:rPr>
        <w:t xml:space="preserve">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Frank Frankfort, U.S. Department of Education, 1990 K Street NW., Room 6166, Washington, DC 20006.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84.116X),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84.116X),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following selection criteria for the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the NFP. The points assigned to each criterion are indicated in parentheses. We will award up to a total of 100 points to an application under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contribution of the proposed project to increased knowledge or understanding of educational problems, issues, or effective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likely to yield findings that may be utilized by other appropriate agencies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replicability of the proposed project or strategies, including, as appropriate, the potential for implementation in a variety of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proposed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design of the proposed project includes a thorough, high-quality review of the </w:t>
      </w:r>
      <w:r>
        <w:rPr>
          <w:rFonts w:ascii="arial" w:eastAsia="arial" w:hAnsi="arial" w:cs="arial"/>
          <w:b/>
          <w:i w:val="0"/>
          <w:strike w:val="0"/>
          <w:noProof w:val="0"/>
          <w:color w:val="000000"/>
          <w:position w:val="0"/>
          <w:sz w:val="20"/>
          <w:u w:val="none"/>
          <w:vertAlign w:val="baseline"/>
        </w:rPr>
        <w:t> [*27063] </w:t>
      </w:r>
      <w:r>
        <w:rPr>
          <w:rFonts w:ascii="arial" w:eastAsia="arial" w:hAnsi="arial" w:cs="arial"/>
          <w:b w:val="0"/>
          <w:i w:val="0"/>
          <w:strike w:val="0"/>
          <w:noProof w:val="0"/>
          <w:color w:val="000000"/>
          <w:position w:val="0"/>
          <w:sz w:val="20"/>
          <w:u w:val="none"/>
          <w:vertAlign w:val="baseline"/>
        </w:rPr>
        <w:t xml:space="preserve"> relevant literature, a high-quality plan for project implementation, and the use of appropriate methodological tools to ensure successful achievement of project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designed to build capacity and yield results that will extend beyond the period of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design of the proposed project reflects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quality of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support, including facilities, equipment, supplies, and other resources, from the applicant organization or the lead applicant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Evaluation</w:t>
      </w:r>
      <w:r>
        <w:rPr>
          <w:rFonts w:ascii="arial" w:eastAsia="arial" w:hAnsi="arial" w:cs="arial"/>
          <w:b w:val="0"/>
          <w:i w:val="0"/>
          <w:strike w:val="0"/>
          <w:noProof w:val="0"/>
          <w:color w:val="000000"/>
          <w:position w:val="0"/>
          <w:sz w:val="20"/>
          <w:u w:val="none"/>
          <w:vertAlign w:val="baseline"/>
        </w:rPr>
        <w:t xml:space="preserv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if well-implemented, produce evidence about the project's effectiveness that would meet the What Works Clearinghouse Evidence Standards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Successful applications will be those that have an evaluation design that has the potential to meet the What Works Clearinghouse Evidence Standards without reservations. The response to this selection criterion should include a description and number of students who will receive the intervention at each partner institution as well as a description and number of students to whom they will be compared at each partner institution. Finally, applicants should also address whether the person or firm conducting the independent evaluation (as defined in this notice) has experience in the design and management of evaluations designed to meet What Works Clearinghouse Evidence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eligible applicants to review the following technical assistance resources on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What Works Clearinghouse Procedures and Standards Handbook: </w:t>
      </w:r>
      <w:hyperlink r:id="rId22"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IES/NCEE Technical Methods papers: </w:t>
      </w:r>
      <w:hyperlink r:id="rId23"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making awards, we will screen applications submitted in accordance with the requirements in this notice to determine whether the application meets the eligibility requirements. This screening process may occur at various stages of the process. Applicants that are determined to be ineligible at any stage of the review process will not be considered further or receive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use independent peer reviewers with varied backgrounds and professions, such as college and university educators, researchers and evaluators, social entrepreneurs, strategy consultants, and others with education expertise for the peer review process.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 Peer reviewers will read the assigned applications, prepare a written evaluation, and score the applications using the selection criteria provided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FITW Validation grant applications the Department will create review panels comprised of content and evaluation experts. Content reviewers will review all eligible proposals but score only the first three selection criteria: A. Significance; B. Quality of the Project Design; and C. Adequacy of Resources. Evaluation experts will review all eligible proposals but score only the fourth criterion, D. Quality of the Project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0"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Federal investment of these funds has as broad an impact as possible and to encourage innovation in the development and dissemination of learning materials, FITW grantees will be required to license to the public all intellectual property (except for computer software source code, as discussed below) created with the support of grant funds, including both new content created with grant funds and modifications made to pre-existing, grantee-owned content using grant funds. That license must be worldwide, non-exclusive, royalty-free, perpetual, irrevocable, and grant the public permission to access, reproduce, publicly perform, publicly display, adapt, distribute, and otherwise use the intellectual property referenced above </w:t>
      </w:r>
      <w:r>
        <w:rPr>
          <w:rFonts w:ascii="arial" w:eastAsia="arial" w:hAnsi="arial" w:cs="arial"/>
          <w:b/>
          <w:i w:val="0"/>
          <w:strike w:val="0"/>
          <w:noProof w:val="0"/>
          <w:color w:val="000000"/>
          <w:position w:val="0"/>
          <w:sz w:val="20"/>
          <w:u w:val="none"/>
          <w:vertAlign w:val="baseline"/>
        </w:rPr>
        <w:t> [*27064] </w:t>
      </w:r>
      <w:r>
        <w:rPr>
          <w:rFonts w:ascii="arial" w:eastAsia="arial" w:hAnsi="arial" w:cs="arial"/>
          <w:b w:val="0"/>
          <w:i w:val="0"/>
          <w:strike w:val="0"/>
          <w:noProof w:val="0"/>
          <w:color w:val="000000"/>
          <w:position w:val="0"/>
          <w:sz w:val="20"/>
          <w:u w:val="none"/>
          <w:vertAlign w:val="baseline"/>
        </w:rPr>
        <w:t xml:space="preserve"> (except for computer software source code, discussed below) for any purposes, conditioned only on the requirement that attribution be given to authors as designated. Further, the Department requires that all computer software source code developed or created with FITW funds will be released under an intellectual property license that allows others to freely use and build upon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1"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You must also submit a final evaluation report. If you receive a multi-year award, you must submit an annual performance report that provides the most current performance and financial expenditure information as directed by the Secretary under </w:t>
      </w:r>
      <w:hyperlink r:id="rId32"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You must also submit an annual evaluation report. The Secretary may also require more frequent performance reports under </w:t>
      </w:r>
      <w:hyperlink r:id="rId33"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will use the following performance measures in assessing the successful performance of FIPSE's FITW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funded projects are replicated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adopted or adapted by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projects are institutionalized and continued after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metrics used to assess and evaluate project results measure performance under the absolute priority the project is designed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percentage of projects supported by FITW grants that produce evidence of their effectiveness (that meets What Works Clearinghouse Evidence Standards without reservations) at improving student outcomes and college affordability, especially for low-income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percentage of projects supported by FITW grants that provide high-quality implementation data and performance feedback that allow for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cost per student served by FITW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cost per successful student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funded, you will be asked to collect and report data from your project on steps taken toward achieving the outcomes evaluated by these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applicants are advised to include these outcomes in conceptualizing the design, implementation, and evaluation of their proposed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Frank Frankfort, U.S. Department of Education, 1990 K Street NW., Room 6166, Washington, DC 20006-8544. Telephone: (202) 502-7513. FAX: (202) 502-7877 or by email. You may send emails to </w:t>
      </w:r>
      <w:hyperlink r:id="rId35" w:history="1">
        <w:r>
          <w:rPr>
            <w:rFonts w:ascii="arial" w:eastAsia="arial" w:hAnsi="arial" w:cs="arial"/>
            <w:b w:val="0"/>
            <w:i/>
            <w:strike w:val="0"/>
            <w:noProof w:val="0"/>
            <w:color w:val="0077CC"/>
            <w:position w:val="0"/>
            <w:sz w:val="20"/>
            <w:u w:val="single"/>
            <w:vertAlign w:val="baseline"/>
          </w:rPr>
          <w:t>OPEFITWValidation@ed.gov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2015-11337 Filed 5-8-15;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27057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HV0-008H-03HM-00000-00&amp;context=" TargetMode="External" /><Relationship Id="rId11" Type="http://schemas.openxmlformats.org/officeDocument/2006/relationships/hyperlink" Target="http://ies.ed.gov/ncee/wwc/DocumentSum.aspx?sid=19" TargetMode="External" /><Relationship Id="rId12" Type="http://schemas.openxmlformats.org/officeDocument/2006/relationships/hyperlink" Target="https://advance.lexis.com/api/document?collection=statutes-legislation&amp;id=urn:contentItem:4YF7-GN91-NRF4-42W2-00000-00&amp;context=" TargetMode="External" /><Relationship Id="rId13" Type="http://schemas.openxmlformats.org/officeDocument/2006/relationships/hyperlink" Target="https://advance.lexis.com/api/document?collection=statutes-legislation&amp;id=urn:contentItem:4YF7-GK91-NRF4-43SG-00000-00&amp;context=" TargetMode="External" /><Relationship Id="rId14" Type="http://schemas.openxmlformats.org/officeDocument/2006/relationships/hyperlink" Target="http://www.ed.gov/fund/grant/apply/grantapp/index.html" TargetMode="External" /><Relationship Id="rId15" Type="http://schemas.openxmlformats.org/officeDocument/2006/relationships/hyperlink" Target="http://www.EDPubs.gov" TargetMode="External" /><Relationship Id="rId16" Type="http://schemas.openxmlformats.org/officeDocument/2006/relationships/hyperlink" Target="mailto:edpubs@inet.ed.gov" TargetMode="External" /><Relationship Id="rId17" Type="http://schemas.openxmlformats.org/officeDocument/2006/relationships/hyperlink" Target="http://www.SAM.gov" TargetMode="External" /><Relationship Id="rId18" Type="http://schemas.openxmlformats.org/officeDocument/2006/relationships/hyperlink" Target="http://www.grants.gov/web/grants/register.html" TargetMode="External" /><Relationship Id="rId19" Type="http://schemas.openxmlformats.org/officeDocument/2006/relationships/hyperlink" Target="http://www.Grants.gov" TargetMode="External" /><Relationship Id="rId2" Type="http://schemas.openxmlformats.org/officeDocument/2006/relationships/webSettings" Target="webSettings.xml" /><Relationship Id="rId20" Type="http://schemas.openxmlformats.org/officeDocument/2006/relationships/hyperlink" Target="http://www.G5.gov" TargetMode="External" /><Relationship Id="rId21" Type="http://schemas.openxmlformats.org/officeDocument/2006/relationships/hyperlink" Target="https://advance.lexis.com/api/document?collection=administrative-codes&amp;id=urn:contentItem:5S7T-7HS0-008H-02VY-00000-00&amp;context=" TargetMode="External" /><Relationship Id="rId22" Type="http://schemas.openxmlformats.org/officeDocument/2006/relationships/hyperlink" Target="http://ies.ed.gov/ncee/wwc/references/idocviewer/doc.aspx?docid=19&amp;tocid=1" TargetMode="External" /><Relationship Id="rId23" Type="http://schemas.openxmlformats.org/officeDocument/2006/relationships/hyperlink" Target="http://ies.ed.gov/ncee/tech_methods/" TargetMode="External" /><Relationship Id="rId24" Type="http://schemas.openxmlformats.org/officeDocument/2006/relationships/hyperlink" Target="https://advance.lexis.com/api/document?collection=administrative-codes&amp;id=urn:contentItem:5GMB-DPB0-008H-02GP-00000-00&amp;context=" TargetMode="External" /><Relationship Id="rId25" Type="http://schemas.openxmlformats.org/officeDocument/2006/relationships/hyperlink" Target="https://advance.lexis.com/api/document?collection=administrative-codes&amp;id=urn:contentItem:5KS0-F5W0-008H-023P-00000-00&amp;context=" TargetMode="External" /><Relationship Id="rId26" Type="http://schemas.openxmlformats.org/officeDocument/2006/relationships/hyperlink" Target="https://advance.lexis.com/api/document?collection=administrative-codes&amp;id=urn:contentItem:5R5H-J1H0-008H-043K-00000-00&amp;context=" TargetMode="External" /><Relationship Id="rId27" Type="http://schemas.openxmlformats.org/officeDocument/2006/relationships/hyperlink" Target="https://advance.lexis.com/api/document?collection=administrative-codes&amp;id=urn:contentItem:5KS0-F5W0-008H-024V-00000-00&amp;context=" TargetMode="External" /><Relationship Id="rId28" Type="http://schemas.openxmlformats.org/officeDocument/2006/relationships/hyperlink" Target="https://advance.lexis.com/api/document?collection=administrative-codes&amp;id=urn:contentItem:5KS0-F600-008H-02PT-00000-00&amp;context=" TargetMode="External" /><Relationship Id="rId29" Type="http://schemas.openxmlformats.org/officeDocument/2006/relationships/hyperlink" Target="https://advance.lexis.com/api/document?collection=administrative-codes&amp;id=urn:contentItem:5KS0-F5W0-008H-025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34-Y1R0-008G-Y1F9-00000-00&amp;context=" TargetMode="External" /><Relationship Id="rId31" Type="http://schemas.openxmlformats.org/officeDocument/2006/relationships/hyperlink" Target="https://advance.lexis.com/api/document?collection=administrative-codes&amp;id=urn:contentItem:5F2R-48P0-008G-Y31V-00000-00&amp;context=" TargetMode="External" /><Relationship Id="rId32" Type="http://schemas.openxmlformats.org/officeDocument/2006/relationships/hyperlink" Target="https://advance.lexis.com/api/document?collection=administrative-codes&amp;id=urn:contentItem:5GMB-DPC0-008H-02S7-00000-00&amp;context=" TargetMode="External" /><Relationship Id="rId33" Type="http://schemas.openxmlformats.org/officeDocument/2006/relationships/hyperlink" Target="https://advance.lexis.com/api/document?collection=administrative-codes&amp;id=urn:contentItem:5GMB-DPC0-008H-02SK-00000-00&amp;context=" TargetMode="External" /><Relationship Id="rId34" Type="http://schemas.openxmlformats.org/officeDocument/2006/relationships/hyperlink" Target="http://www.ed.gov/fund/grant/apply/appforms/appforms.html" TargetMode="External" /><Relationship Id="rId35" Type="http://schemas.openxmlformats.org/officeDocument/2006/relationships/hyperlink" Target="mailto:OPEFITWValidation@ed.gov" TargetMode="External" /><Relationship Id="rId36" Type="http://schemas.openxmlformats.org/officeDocument/2006/relationships/hyperlink" Target="http://www.gpo.gov/fdsys" TargetMode="External" /><Relationship Id="rId37" Type="http://schemas.openxmlformats.org/officeDocument/2006/relationships/hyperlink" Target="http://www.federalregister.gov"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YM-BP10-006W-82P2-00000-00&amp;context=" TargetMode="External" /><Relationship Id="rId8" Type="http://schemas.openxmlformats.org/officeDocument/2006/relationships/hyperlink" Target="https://advance.lexis.com/api/document?collection=administrative-codes&amp;id=urn:contentItem:5DT7-0130-006W-81YP-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15768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