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29370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098, Thursday, May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29370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34-74972; File No. SR-NASDAQ-2015-055]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May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n2 thereunder, notice is hereby given that, on May 11, 2015,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Rule 7039 (NASDAQ Last Sale Data Feed) with language regarding NASDAQ Last Sale ("NLS") Plus ("NLS Plus"), a comprehensive data feed offered by NASDAQ OMX Information LLC. n3 NLS Plus allows data distributors to access the three last sale products offered by each of NASDAQ OMX's three U.S. equity markets. n4 NLS Plus also reflects cumulative consolidated volume ("consolidated volume") of real-time trading activity across all U.S. exchanges for Tape C securities n5 and 15-minute delayed information for Tape A and Tape B securities. n6 Thus, in offering NLS Plus, NASDAQ OMX Information LLC is, as discussed below, acting as a redistributor of last sale products already offered by NASDAQ, BX, and PSX and volume information provided by the securities information processors for Tape A, B, and C. This proposal is being filed by the Exchange to explain the scope of the NLS Plus data feed offering and in light of a recent approval order on behalf of several affiliated exchanges regarding a similar data product.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NASDAQ OMX Information LLC is a subsidiary of The NASDAQ OMX Group, Inc. ("NASDAQ OMX").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NASDAQ OMX U.S. equity markets include The NASDAQ Stock Market ("NASDAQ"), NASDAQ OMX BX ("BX"), and NASDAQ OMX PSX ("PSX") (together known as the "NASDAQ OMX equity markets"). PSX and BX will shortly file companion proposals regarding NLS Plus. NASDAQ's last sale product, NASDAQ Last Sale, includes last sale information from the FINRA/NASDAQ Trade Reporting Facility ("FINRA/NASDAQ TRF"), which is jointly operated by NASDAQ and the Financial Industry Regulatory Authority ("FINRA"). Accordingly, NASDAQ expects that FINRA will submit a proposed change to FINRA Rule 7640A with respect to NLS Plus.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71350 (January 17, 2014), </w:t>
      </w:r>
      <w:hyperlink r:id="rId10" w:history="1">
        <w:r>
          <w:rPr>
            <w:rFonts w:ascii="arial" w:eastAsia="arial" w:hAnsi="arial" w:cs="arial"/>
            <w:b w:val="0"/>
            <w:i/>
            <w:strike w:val="0"/>
            <w:noProof w:val="0"/>
            <w:color w:val="0077CC"/>
            <w:position w:val="0"/>
            <w:sz w:val="20"/>
            <w:u w:val="single"/>
            <w:vertAlign w:val="baseline"/>
          </w:rPr>
          <w:t>79 FR 4218</w:t>
        </w:r>
      </w:hyperlink>
      <w:r>
        <w:rPr>
          <w:rFonts w:ascii="arial" w:eastAsia="arial" w:hAnsi="arial" w:cs="arial"/>
          <w:b w:val="0"/>
          <w:i w:val="0"/>
          <w:strike w:val="0"/>
          <w:noProof w:val="0"/>
          <w:color w:val="000000"/>
          <w:position w:val="0"/>
          <w:sz w:val="20"/>
          <w:u w:val="none"/>
          <w:vertAlign w:val="baseline"/>
        </w:rPr>
        <w:t xml:space="preserve"> (January 24, 2014) (SR-FINRA-2014-002).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1"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2"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3"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Tape C securities are disseminated pursuant to the NASDAQ Unlisted Trading Privileges ("UTP")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Tape A and Tape B securities are disseminated pursuant to the Security Industry Automation Corporation's ("SIAC") Consolidated Tape Association Plan/Consolidated Quotation System, or CTA/CQS ("CTA").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14"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5"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 </w:t>
      </w:r>
      <w:r>
        <w:rPr>
          <w:rFonts w:ascii="arial" w:eastAsia="arial" w:hAnsi="arial" w:cs="arial"/>
          <w:b/>
          <w:i w:val="0"/>
          <w:strike w:val="0"/>
          <w:noProof w:val="0"/>
          <w:color w:val="000000"/>
          <w:position w:val="0"/>
          <w:sz w:val="20"/>
          <w:u w:val="none"/>
          <w:vertAlign w:val="baseline"/>
        </w:rPr>
        <w:t> [*29371]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Rule 7039 by adding new section (d) regarding NLS Plus. NLS Plus allows data distributors to access last sale products offered by each of NASDAQ OMX's three equity exchanges. Thus, NLS Plus includes all transactions from all of NASDAQ OMX's equity markets, as well as FINRA/NASDAQ TRF data that is included in the current NLS product. In addition, NLS Plus features total cross-market volume information at the issue level, thereby providing redistribution of consolidated volume information from the securities information processors ("SIPs") for Tape A, B, and C securities. n8 Thus, NLS Plus covers all securities listed on NASDAQ and New York Stock Exchange ("NYSE") (now under the Intercontinental Exchange ("ICE") umbrella), as well as US "regional" exchanges such as NYSE MKT, NYSE Arca, and BATS (also known as BATS/Direct Edge). n9 The Exchange will, as discussed below, file a separate proposal regarding the NLS Plus fee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This will reflect real-time trading activity for Tape C securities and 15-minute delayed information for Tape A and Tape B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Registered U.S. exchanges are listed at </w:t>
      </w:r>
      <w:hyperlink r:id="rId16" w:history="1">
        <w:r>
          <w:rPr>
            <w:rFonts w:ascii="arial" w:eastAsia="arial" w:hAnsi="arial" w:cs="arial"/>
            <w:b w:val="0"/>
            <w:i/>
            <w:strike w:val="0"/>
            <w:noProof w:val="0"/>
            <w:color w:val="0077CC"/>
            <w:position w:val="0"/>
            <w:sz w:val="20"/>
            <w:u w:val="single"/>
            <w:vertAlign w:val="baseline"/>
          </w:rPr>
          <w:t>http://www.sec.gov/divisions/marketreg/mrexchanges.shtml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has offered NLS Plus since 2010 via NASDAQ OMX Information LLC. NASDAQ OMX Information LLC is a subsidiary of NASDAQ OMX Group, Inc., separate and apart from The NASDAQ Stock Market LLC. As such, NASDAQ OMX Information LLC redistributes last sale data that has been the subject of a proposed rule change filed with the Commission at prices that also have been the subject of a proposed rule change filed with the Commission. As discussed below, NASDAQ OMX Information LLC distributes no data that is not equally available to all market data vendors.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NLS Plus is and has been described online at </w:t>
      </w:r>
      <w:hyperlink r:id="rId17"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also </w:t>
      </w:r>
      <w:hyperlink r:id="rId18" w:history="1">
        <w:r>
          <w:rPr>
            <w:rFonts w:ascii="arial" w:eastAsia="arial" w:hAnsi="arial" w:cs="arial"/>
            <w:b w:val="0"/>
            <w:i/>
            <w:strike w:val="0"/>
            <w:noProof w:val="0"/>
            <w:color w:val="0077CC"/>
            <w:position w:val="0"/>
            <w:sz w:val="20"/>
            <w:u w:val="single"/>
            <w:vertAlign w:val="baseline"/>
          </w:rPr>
          <w:t>http://nasdaqtrader.com/content/technicalsupport/specifications/dataproducts/NLSPlusSpecification.pdf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provides detail about how NLS Plus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purpose of NASDAQ OMX Information LLC is to combine publicly available data from the three filed last sale products of the NASDAQ OMX equity markets and from the network processors for the ease and convenience of market data users and vendors, and ultimately the investing public. In that role, the function of NASDAQ OMX Information LLC is analogous to that of other market data vendors, and it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market data vendors. For example, NASDAQ OMX Information LLC receives data from the exchange that is available to other market data vendors, with the same information distributed to NASDAQ OMX Information LLC at the same time it is distributed to other vendors (that is, NASDAQ OMX Information LLC has neither a speed nor an information differential). Through this structure, NASDAQ OMX Information LLC performs precisely the same functions as Bloomberg, Thomson Reuters, and dozens of other market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contents of NLS Plus in large part mimic those of NLS set forth in NASDAQ Rule 7039. Currently, NLS in Rule 7039 consists of two separate data products containing last sale activity within the NASDAQ market and reported to the jointly-operated FINRA/NASDAQ TRF; these products are available via two separate data channels. First, as described in Rule 7039, the "NLS for NASDAQ" data product is a real-time data channel that provides real-time last sale information including execution price, volume, and time for executions occurring within the NASDAQ system as well as those reported to the FINRA/NASDAQ TRF. Second, the product known as "NLS for NYSE/NYSE MKT" provides real-time last sale information over a second data channel including execution price, volume, and time for NYSE- and NYSE MKT-securities executions occurring within the NASDAQ system as well as those reported to the FINRA/NASDAQ TRF. By contrast, the SIPs that provide "core" data consolidate last sale information from all exchanges and TRFs. Thus, NLS replicates a subset of the information provided by the SIPs. NASDAQ currently maintains several pricing models, for NLS, including an enterprise license. NLS Plus also includes comparable information from BX Last Sale (BX Rule 7039) and PSX Last Sale (NASDAQ OMX PSX Fees Chapter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add NLS Plus to Rule 7039, which currently describes the NLS data feed offering, to fully reflect NLS Plus. As described more fully below, NLS Plus is a comprehensive data feed offered by NASDAQ OMX Information LLC that disseminates last sale data as well as consolidated volume of NASDAQ equity markets and the TRF in real-time, and consolidated volume for Tape A and Tape B securities on a 15-minute delayed basis. Similar to NLS, NLS Plus offers data for all U.S. equities via two separate data channels: The first data channel reflects NASDAQ, BX, and PSX trades with real-time consolidated volume for NASDAQ-listed securities; and the second data channel reflects NASDAQ, BX, and PSX trades with delayed consolidated volume for NYSE, NYSE MKT, NYSE Arca and BATS-listed securities. n11 NLS Plus, like NLS, is used by industry professionals and retail investors looking for a cost effective, easy-to-administer, high quality market data product with the characteristics of NLS Plus. The provision of multiple options for investors to receive market data was a primary goal of the market data amendments adopted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n12 Finally, NLS Plus provides investors with options for receiving market data that parallel products currently offered by BATS and BATS Y, EDGA, and EDGX and NYSE equity exchanges.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These NLS Plus channels are each made up of a series of sequenced messages so that each message is variable in length based on the message type and is typically delivered using a higher level protocol. NLS Plus Channel 1 contains NASDAQ trades with real time consolidated volume for NASDAQ listed (Tape C) securities. NLS Plus Channel 2 contains NASDAQ trades with delayed (15 minutes) consolidated volume for NYSE, NYSE Market, NYSE Arca, and BATS listed (Tape A and Tape B)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However, the Exchange notes that under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242.603(c)</w:t>
        </w:r>
      </w:hyperlink>
      <w:r>
        <w:rPr>
          <w:rFonts w:ascii="arial" w:eastAsia="arial" w:hAnsi="arial" w:cs="arial"/>
          <w:b w:val="0"/>
          <w:i w:val="0"/>
          <w:strike w:val="0"/>
          <w:noProof w:val="0"/>
          <w:color w:val="000000"/>
          <w:position w:val="0"/>
          <w:sz w:val="20"/>
          <w:u w:val="none"/>
          <w:vertAlign w:val="baseline"/>
        </w:rPr>
        <w:t xml:space="preserve">, NLS Plus cannot be substituted for consolidated data in all instances in which consolidated data is used and certain subscribers are still required to purchase consolidated data for trading and order-routing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0" w:history="1">
        <w:r>
          <w:rPr>
            <w:rFonts w:ascii="arial" w:eastAsia="arial" w:hAnsi="arial" w:cs="arial"/>
            <w:b w:val="0"/>
            <w:i/>
            <w:strike w:val="0"/>
            <w:noProof w:val="0"/>
            <w:color w:val="0077CC"/>
            <w:position w:val="0"/>
            <w:sz w:val="20"/>
            <w:u w:val="single"/>
            <w:vertAlign w:val="baseline"/>
          </w:rPr>
          <w:t>70 FR 37496, at 37503</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last sale information, NLS Plus also disseminates the following data elements: Trade Price, Trade Size, Sale Condition Modifiers, Cumulative Consolidated Market Volume, End of Day Trade Summary, Adjusted Closing Price, IPO Information, and Bloomberg ID (together the "data elements"). NLS Plus also features and disseminates the following messages: Market Wide Circuit Breaker, Reg SHO Short Sale Price Test Restricted Indicator, Trading Action, Symbol Directory, Adjusted Closing Price, and End of Day Trade Summary (together the "messages"). n14 The </w:t>
      </w:r>
      <w:r>
        <w:rPr>
          <w:rFonts w:ascii="arial" w:eastAsia="arial" w:hAnsi="arial" w:cs="arial"/>
          <w:b/>
          <w:i w:val="0"/>
          <w:strike w:val="0"/>
          <w:noProof w:val="0"/>
          <w:color w:val="000000"/>
          <w:position w:val="0"/>
          <w:sz w:val="20"/>
          <w:u w:val="none"/>
          <w:vertAlign w:val="baseline"/>
        </w:rPr>
        <w:t> [*29372] </w:t>
      </w:r>
      <w:r>
        <w:rPr>
          <w:rFonts w:ascii="arial" w:eastAsia="arial" w:hAnsi="arial" w:cs="arial"/>
          <w:b w:val="0"/>
          <w:i w:val="0"/>
          <w:strike w:val="0"/>
          <w:noProof w:val="0"/>
          <w:color w:val="000000"/>
          <w:position w:val="0"/>
          <w:sz w:val="20"/>
          <w:u w:val="none"/>
          <w:vertAlign w:val="baseline"/>
        </w:rPr>
        <w:t xml:space="preserve"> overwhelming majority of these data elements and messages are exactly the same as, and in fact are sourced from, NLS, BX Last Sale, and PSX Last Sale. Only two data elements (consolidated volume and Bloomberg ID) are, as discussed below, sourced from other publicly accessible or obtainable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Reg SHO Short Sale Price Test Restricted Indicator message is disseminated intra-day when a security has a price drop of 10% or more from the adjusted prior day's NASDAQ Official Closing Price. Trading Action indicates the current trading status of a security to the trading community, and indicates when a security is halted, paused, released for quotation, and released for trading. Symbol Directory is disseminated at the start of each trading day for all active NASDAQ and non-NASDAQ-listed security symbols. Adjusted Closing Price is disseminated at the start of each trading day for all active symbols in the NASDAQ system, and reflects the previous trading day's official closing price adjusted for any applicable corporate actions; if there were no corporate actions, however, the previous day's official closing price is used. End of Day Trade Summary is disseminated at the close of each trading day, as a summary for all active NASDAQ- and non-NASDAQ-listed securities. IPO Information reflects IPO general administrative messages from the UTP and CTA Level 1 feeds for Initial Public Offerings for all NASDAQ- and non-NASDAQ-listed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volume reflects the consolidated volume at the time that the NLS Plus trade message is generated, and includes the volume for the issue symbol as reported on the consolidated market data feed. The consolidated volume is based on the real-time trades reported via the UTP Trade Data Feed ("UTDF") and delayed trades reported via CTA. NASDAQ OMX calculates the real-time trading volume for its trading venues, and then adds the real-time trading volume for the other (non-NASDAQ OMX) trading venues as reported via the UTDF data feed. For non-NASDAQ-listed issues, the consolidated volume is based on trades reported via SIAC's Consolidated Tape System ("CTS") for the issue symbol. The Exchange calculates the real-time trading volume for its trading venues, and then adds the 15-minute delayed trading volume for the other (non-NASDAQ OMX) trading venues as reported via the CTS data feed. n15 The second data point that is not sourced from NLS, BX Last Sale, and PSX Last Sale is Bloomberg ID. This composite ID is a component of Bloomberg's Open Symbology and acts as a global security identifier that Bloomberg assigns to securities, and is available free of charge.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In order to distribute data derived from UTDF and CTA, NASDAQ OMX must pay monthly redistributor fees. However, because these fees are paid on an enterprise-wide basis and NASDAQ OMX includes such derived data in other data products, the use of the data in NLS Plus does not result in an additional incremental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http://bsym.bloomberg.com/sym/pages/bbgid-fact-sheet.pdf</w:t>
        </w:r>
      </w:hyperlink>
      <w:r>
        <w:rPr>
          <w:rFonts w:ascii="arial" w:eastAsia="arial" w:hAnsi="arial" w:cs="arial"/>
          <w:b w:val="0"/>
          <w:i/>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http://bsym.bloomberg.com/sym/pages/NASDAQ_Adopts_BSYM.pdf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may be received by itself or in combination with NASDAQ Basic. n17 In the latter case, the subscriber receives all of the elements contained in NLS Plus as well as the best bid and best offer information provided by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As provided in Rule 7047, NASDAQ Basic provides the information contained in NLS, together with NASDAQ's best bid and best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market data distributors may use the NLS Plus data feed to feed stock tickers, portfolio trackers, trade alert programs, time and sale graphs, and other display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two housekeeping changes. In the Rule 7039 title, the Exchange adds the phrase "and NASDAQ Last Sale Plus" to make it clear that the rule refers to NLS and NLS Plus. And in section (a), the Exchange adds the phrase "NASDAQ Last Sale" to make it clear that section (a)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like sections (b) and (c) refers to NLS. These changes are non-substantive.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latency, the path for distribution by the Exchange of NLS Plus is not faster than the path for distribution that would be used by a market data vendor to distribute an independently created NLS Plus-like product. As such, the proposed NLS Plus data feed is a data product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create and sell without being in a disadvantaged position relative to the Exchange. In recognition that the Exchange is the source of its own market data and with BX and PSX being equity markets owned by NASDAQ OMX, the Exchange represents that the source of the market data it would use to create proposed NLS Plus is available to other vendors. In fact, the overwhelming majority of the data elements and messages n18 in NLS Plus are exactly the same as, and in fact are sourced from, NLS, BX Last Sale, and PSX Last Sale, each of which is available to other market data vendors. n19 The Exchange, BX, and PSX will continue to make available these individual underlying data elements, and thus, the source of the market data that the Exchange would use to create the proposed NLS Plus is the same as what is available to other market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related to note 14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Only two data elements are, as discussed above, sourced from other publicly accessible or obtainable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create NLS Plus, the system creating and supporting NLS Plus receives the individual data feeds from each of the NASDAQ OMX equity markets and, in turn, aggregates and summarizes that data to create NLS Plus and then distribute it to end users. This is the same process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would undergo should it want to create a market data product similar to NLS Plus to distribute to its end users.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receive the individual data feeds from each of the NASDAQ OMX equity markets at the same time the system creating and supporting NLS Plus would for it to create NLS Plus. Therefore,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as discussed, obtain the underlying data elements from the NASDAQ OMX equity markets on the same latency basis as the system that would be performing the aggregation and consolidation of proposed NLS Plus, and provide a similar product to its customers with the same latency they could achieve by purchasing NLS Plus from the Exchange. As such, the Exchange would not have any unfair advantage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NLS Plus. Moreover, in terms of NLS itself, the Exchange would access the underlying feed from the same point as would a market data vendor; as discussed, the Exchange would not have a speed advantage. Likewise, NLS Plus would not have any speed advantage vis-a-vis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access to end user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cost, upon approval of this NLS Plus proposal the Exchange will file a separate proposal with the Commission regarding fees, which would be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similar product as NLS Plus. The Exchange expects that the pricing will reflect the incremental cost of the aggregation and consolidation function for NLS Plus, and would not be lower than the cost to a vendor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including the cost of receiving the underlying data feeds. The pricing the Exchange would charge clients for NLS Plus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For these reasons, the Exchange believes that vendors could readily offer a product similar to NLS Plus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at a similar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the Exchange believes that the NLS Plus data offering benefits the public and investors and that the proposal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believes that the proposed rule change is consistent with the provisions of Section 6 of the Act, n20 in general, and with Section 6(b)(5) of the </w:t>
      </w:r>
      <w:r>
        <w:rPr>
          <w:rFonts w:ascii="arial" w:eastAsia="arial" w:hAnsi="arial" w:cs="arial"/>
          <w:b/>
          <w:i w:val="0"/>
          <w:strike w:val="0"/>
          <w:noProof w:val="0"/>
          <w:color w:val="000000"/>
          <w:position w:val="0"/>
          <w:sz w:val="20"/>
          <w:u w:val="none"/>
          <w:vertAlign w:val="baseline"/>
        </w:rPr>
        <w:t> [*29373] </w:t>
      </w:r>
      <w:r>
        <w:rPr>
          <w:rFonts w:ascii="arial" w:eastAsia="arial" w:hAnsi="arial" w:cs="arial"/>
          <w:b w:val="0"/>
          <w:i w:val="0"/>
          <w:strike w:val="0"/>
          <w:noProof w:val="0"/>
          <w:color w:val="000000"/>
          <w:position w:val="0"/>
          <w:sz w:val="20"/>
          <w:u w:val="none"/>
          <w:vertAlign w:val="baseline"/>
        </w:rPr>
        <w:t xml:space="preserve"> Act, n21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add section (d) to Rule 7039 regarding the NLS Plus data offering. NASDAQ believes that the proposal facilitates transactions in securities, removes impediments to and perfects the mechanism of a free and open market and a national market system, and, in general, protects investors and the public interest by making permanent the availability of an additional means by which investors may access information about securities transactions, thereby providing investors with additional options for accessing information that may help to inform their trading decisions. Given that Section 11A the Act n22 requires the dissemination of last sale reports in core data, NASDAQ believes that the inclusion of the same data in NLS Plus is also consistent with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notes that the Commission has recently approved a data product on several exchanges that is similar to NLS Plus, and specifically determined that the approved data product was consistent with the Act. n23 NLS Plus simply provides market participants with an additional option for receiving market data that has already been the subject of a proposed rule change and that is available from myriad market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NASDAQ believes that its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0"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will file a separate proposal regarding NLS Plus fees. n25 The decision of the United States Court of Appeals for the District of Columbia Circuit in </w:t>
      </w:r>
      <w:hyperlink r:id="rId25"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Exchange expects that the fee structure for NLS Plus will reflect an amount that is no less than the cost to a market data vendor to obtain all the underlying feeds, plus an amount to be determined that would reflect the value of the aggregation and consolidation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NASDAQ's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NASDAQ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in accordance with the relevant statutory standards. n27 Moreover, NASDAQ further notes that the product at issue in this filing--a last sale data product that replicates a subset of the information available through "core" data products whose fees have been reviewed and approved by the SEC--is quite different from the NYSE Arca depth-of-book data product at issue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for the reasons given, the proposal is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As is true of all NASDAQ's non-core data products, NASDAQ's ability to offer and price NLS Plus is constrained by: (1)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other trading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(2) the existence of </w:t>
      </w:r>
      <w:r>
        <w:rPr>
          <w:rFonts w:ascii="arial" w:eastAsia="arial" w:hAnsi="arial" w:cs="arial"/>
          <w:b/>
          <w:i w:val="0"/>
          <w:strike w:val="0"/>
          <w:noProof w:val="0"/>
          <w:color w:val="000000"/>
          <w:position w:val="0"/>
          <w:sz w:val="20"/>
          <w:u w:val="none"/>
          <w:vertAlign w:val="baseline"/>
        </w:rPr>
        <w:t> [*29374] </w:t>
      </w:r>
      <w:r>
        <w:rPr>
          <w:rFonts w:ascii="arial" w:eastAsia="arial" w:hAnsi="arial" w:cs="arial"/>
          <w:b w:val="0"/>
          <w:i w:val="0"/>
          <w:strike w:val="0"/>
          <w:noProof w:val="0"/>
          <w:color w:val="000000"/>
          <w:position w:val="0"/>
          <w:sz w:val="20"/>
          <w:u w:val="none"/>
          <w:vertAlign w:val="baseline"/>
        </w:rPr>
        <w:t xml:space="preserve"> inexpensive real-time consolidated data and market-specific data and free delayed consolidated data; and (3) the inherent contestability of the market for proprietary last sale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described in detail above,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a myriad of similar products and potential products of market data vendors. NASDAQ OMX Information LLC was constructed specifically to establish a level playing field with market data vendors and to preserve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Therefore, NASDAQ OMX Information LLC receives NLS, BX Last Sale, and PSX Last Sale from each NASDAQ-operated exchange in the same manner, at the same speed, and reflecting the same fees as for all market data vendors. Therefore, NASDAQ Information LLC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these last sale products and NASDAQ commits to maintaining this level playing field in the future. In other words, NASDAQ will continue to disseminate separately the underlying last sale products to avoid creating a latency differential between NASDAQ OMX Information LLC and other market data vendors, and to avoid creating a pricing advantage for NASDAQ OMX Information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n28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NASDAQ would be unable to defray its platform costs of providing the joint products. Similarly, data products cannot make use of TRF trade reports without the raw material of the trade reports themselves, and therefore necessitate the costs of operating, regulating, n29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exchange's BD customers view the costs of transaction executions and of data as a unified cost of doing business with the exchange. A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trading activity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the case of products such as NLS Plus that are distributed through market data vendors, the vendors provide price discipline for proprietary data products because they control the primary means of access to end users. Vendors impose price restraints based upon their business models. For example, vendors such as Bloomberg and Reuters that assess a surcharge on data they sell may refuse to offer proprietary products that end users will not purchase in sufficient numbers. Internet portals, such as Google, impose a discipline by providing only data that will enable them to attract "eyeballs" that contribute to their advertising revenue. Retail BDs,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Exchanges, </w:t>
      </w:r>
      <w:r>
        <w:rPr>
          <w:rFonts w:ascii="arial" w:eastAsia="arial" w:hAnsi="arial" w:cs="arial"/>
          <w:b/>
          <w:i w:val="0"/>
          <w:strike w:val="0"/>
          <w:noProof w:val="0"/>
          <w:color w:val="000000"/>
          <w:position w:val="0"/>
          <w:sz w:val="20"/>
          <w:u w:val="none"/>
          <w:vertAlign w:val="baseline"/>
        </w:rPr>
        <w:t> [*29375] </w:t>
      </w:r>
      <w:r>
        <w:rPr>
          <w:rFonts w:ascii="arial" w:eastAsia="arial" w:hAnsi="arial" w:cs="arial"/>
          <w:b w:val="0"/>
          <w:i w:val="0"/>
          <w:strike w:val="0"/>
          <w:noProof w:val="0"/>
          <w:color w:val="000000"/>
          <w:position w:val="0"/>
          <w:sz w:val="20"/>
          <w:u w:val="none"/>
          <w:vertAlign w:val="baseline"/>
        </w:rPr>
        <w:t xml:space="preserve"> TRFs, and other producers of proprietary data products must understand and respond to these varying business models and pricing disciplines in order to market proprietary data products successfully. Moreover, NASDAQ believes that products such as NLS Plus can enhance order flow to NASDAQ by providing more widespread distribution of information about transactions in real time, thereby encouraging wider participation in the market by investors with access to the internet or television. Conversely, the value of such products to distributors and investors decreases if order flow falls, because the products contain less content.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 Indeed, in the case of NLS Plus, the data provided through that product appears both in (i) real-time core data products offered by the SIPs for a fee, (ii) free SIP data products with a 15-minute time delay, and (iii) individual exchange data products, and finds a close substitute in last-sale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n31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n32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consolidated data provides two additional measures of pricing discipline for proprietary data products </w:t>
      </w:r>
      <w:r>
        <w:rPr>
          <w:rFonts w:ascii="arial" w:eastAsia="arial" w:hAnsi="arial" w:cs="arial"/>
          <w:b/>
          <w:i w:val="0"/>
          <w:strike w:val="0"/>
          <w:noProof w:val="0"/>
          <w:color w:val="000000"/>
          <w:position w:val="0"/>
          <w:sz w:val="20"/>
          <w:u w:val="none"/>
          <w:vertAlign w:val="baseline"/>
        </w:rPr>
        <w:t> [*29376] </w:t>
      </w:r>
      <w:r>
        <w:rPr>
          <w:rFonts w:ascii="arial" w:eastAsia="arial" w:hAnsi="arial" w:cs="arial"/>
          <w:b w:val="0"/>
          <w:i w:val="0"/>
          <w:strike w:val="0"/>
          <w:noProof w:val="0"/>
          <w:color w:val="000000"/>
          <w:position w:val="0"/>
          <w:sz w:val="20"/>
          <w:u w:val="none"/>
          <w:vertAlign w:val="baseline"/>
        </w:rPr>
        <w:t xml:space="preserve"> that are a subset of the consolidated data stream. First, the consolidated data is widely available in real-time at $ 1 per month for non-professional users. Second, consolidated data is also available at no cost with a 15- or 20- 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products such as NLS Plus is borne out by the performance of the market. In May 2008, the internet portal Yahoo! began offering its Web site viewers real-time last sale data (as well as best quote data) provided by BATS. In response, in June 2008, NASDAQ launched NLS, which was initially subject to an "enterprise cap" of $ 100,000 for customers receiving only one of the NLS products, and $ 150,000 for customers receiving both products. The majority of NASDAQ's sales were at the capped level. In early 2009, BATS expanded its offering of free data to include depth-of-book data. Also in early 2009, NYSE Arca announced the launch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last sale product with an enterprise price of $ 30,000 per month. In response, NASDAQ combined the enterprise cap for the NLS products and reduced the cap to $ 50,000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reduction of $ 100,000 per month). Although each of these products offers only a specific subset of data available from the SIPs, NASDAQ believes that the products are viewed as substitutes for each other and for core last-sale data, rather than as products that must be obtained in tandem. For example, while Yahoo! and Google now both disseminate NASDAQ's product, several other major content providers, including MSN and Morningstar, use the BATS product. Moreover, further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observed in the recently-developed BATS One Feed and BQT feed.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to NASDAQ and the value of its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up to 90 days (i) as the Commission may designate if it finds such longer period to be appropriate and publishes its reasons for so finding or (ii) as to which the Exchange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SR-NASDAQ-2015-055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SR-NASDAQ-2015-055.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SR-NASDAQ-2015-055 and should be submitted on or before June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2015-12280 Filed 5-20-15;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29370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BC0-G1V0-006W-844H-00000-00&amp;context=" TargetMode="External" /><Relationship Id="rId11" Type="http://schemas.openxmlformats.org/officeDocument/2006/relationships/hyperlink" Target="https://advance.lexis.com/api/document?collection=administrative-codes&amp;id=urn:contentItem:4ST3-7660-006W-855B-00000-00&amp;context=" TargetMode="External" /><Relationship Id="rId12" Type="http://schemas.openxmlformats.org/officeDocument/2006/relationships/hyperlink" Target="https://advance.lexis.com/api/document?collection=administrative-codes&amp;id=urn:contentItem:4XWV-C110-006W-820D-00000-00&amp;context=" TargetMode="External" /><Relationship Id="rId13" Type="http://schemas.openxmlformats.org/officeDocument/2006/relationships/hyperlink" Target="https://advance.lexis.com/api/document?collection=administrative-codes&amp;id=urn:contentItem:511J-9M30-006W-82GB-00000-00&amp;context=" TargetMode="External" /><Relationship Id="rId14" Type="http://schemas.openxmlformats.org/officeDocument/2006/relationships/hyperlink" Target="https://advance.lexis.com/api/document?collection=administrative-codes&amp;id=urn:contentItem:5DKG-59X0-006W-84JS-00000-00&amp;context=" TargetMode="External" /><Relationship Id="rId15" Type="http://schemas.openxmlformats.org/officeDocument/2006/relationships/hyperlink" Target="http://nasdaq.cchwallstreet.com" TargetMode="External" /><Relationship Id="rId16" Type="http://schemas.openxmlformats.org/officeDocument/2006/relationships/hyperlink" Target="http://www.sec.gov/divisions/marketreg/mrexchanges.shtml" TargetMode="External" /><Relationship Id="rId17" Type="http://schemas.openxmlformats.org/officeDocument/2006/relationships/hyperlink" Target="http://nasdaqtrader.com/Trader.aspx?id=DPUSdata#ls" TargetMode="External" /><Relationship Id="rId18" Type="http://schemas.openxmlformats.org/officeDocument/2006/relationships/hyperlink" Target="http://nasdaqtrader.com/content/technicalsupport/specifications/dataproducts/NLSPlusSpecification.pdf" TargetMode="External" /><Relationship Id="rId19" Type="http://schemas.openxmlformats.org/officeDocument/2006/relationships/hyperlink" Target="https://advance.lexis.com/api/document?collection=administrative-codes&amp;id=urn:contentItem:5MJ8-4SN0-008G-Y35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GH9-4PB0-014W-D1VJ-00000-00&amp;context=" TargetMode="External" /><Relationship Id="rId21" Type="http://schemas.openxmlformats.org/officeDocument/2006/relationships/hyperlink" Target="http://bsym.bloomberg.com/sym/pages/bbgid-fact-sheet.pdf" TargetMode="External" /><Relationship Id="rId22" Type="http://schemas.openxmlformats.org/officeDocument/2006/relationships/hyperlink" Target="http://bsym.bloomberg.com/sym/pages/NASDAQ_Adopts_BSYM.pdf"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statutes-legislation&amp;id=urn:contentItem:4YF7-GK71-NRF4-4360-00000-00&amp;context=" TargetMode="External" /><Relationship Id="rId25" Type="http://schemas.openxmlformats.org/officeDocument/2006/relationships/hyperlink" Target="https://advance.lexis.com/api/document?collection=cases&amp;id=urn:contentItem:803V-DT30-YB0V-T01B-00000-00&amp;context=" TargetMode="External" /><Relationship Id="rId26" Type="http://schemas.openxmlformats.org/officeDocument/2006/relationships/hyperlink" Target="https://advance.lexis.com/api/document?collection=cases&amp;id=urn:contentItem:589M-GYC1-F04K-Y02R-00000-00&amp;context=" TargetMode="External" /><Relationship Id="rId27" Type="http://schemas.openxmlformats.org/officeDocument/2006/relationships/hyperlink" Target="http://www.cinnober.com/boat-trade-reporting"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1S-38R0-006W-83X7-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53414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