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32229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108, Part II, Friday, June 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32229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Investing in Innovation Fund--Scale-up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Innovation Fund--Scale-up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84.411A (Scale-up grants).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Investing in Innovation Fund (i3), established under section 14007 of the American Recovery and Reinvestment Act of 2009 (ARRA), provides funding to support (1) local educational agencies (LEAs), and (2) nonprofit organizations in partnership with (a) one or more LEAs or (b) a consortium of schools. The i3 program is designed to generate and validate solutions to persistent educational challenges and to support the expansion of effective solutions to serve substantially larger numbers of students. The central design element of the i3 program is its multi-tier structure that links the amount of funding that an applicant may receive to the quality of the evidence supporting the efficacy of the proposed project. Applicants proposing practices supported by limited evidence can receive relatively small grants that support the development and initial evaluation of promising practices and help to identify new solutions to pressing challenges; applicants proposing practices supported by evidence from rigorous evaluations, such as large randomized controlled trials, can receive sizable grants to support expansion across the country. This structure provides incentives for applicants to build evidence of effectiveness of their proposed projects and to address the barriers to serving more students across schools, districts,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importantly, all i3 projects are required to generate additional evidence of effectiveness. All i3 grantees must use part of their budgets to conduct independent evaluations (as defined in this notice) of their projects. This ensures that projects funded under the i3 program contribute significantly to improving the information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awards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Scale-up grants only. The notice inviting applications for Validation grants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inviting applications for Development grants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30, 2015 </w:t>
      </w:r>
      <w:r>
        <w:rPr>
          <w:rFonts w:ascii="arial" w:eastAsia="arial" w:hAnsi="arial" w:cs="arial"/>
          <w:b w:val="0"/>
          <w:i/>
          <w:strike w:val="0"/>
          <w:noProof w:val="0"/>
          <w:color w:val="000000"/>
          <w:position w:val="0"/>
          <w:sz w:val="20"/>
          <w:u w:val="none"/>
          <w:vertAlign w:val="baseline"/>
        </w:rPr>
        <w:t>(80 FR 16648)</w:t>
      </w:r>
      <w:r>
        <w:rPr>
          <w:rFonts w:ascii="arial" w:eastAsia="arial" w:hAnsi="arial" w:cs="arial"/>
          <w:b w:val="0"/>
          <w:i w:val="0"/>
          <w:strike w:val="0"/>
          <w:noProof w:val="0"/>
          <w:color w:val="000000"/>
          <w:position w:val="0"/>
          <w:sz w:val="20"/>
          <w:u w:val="none"/>
          <w:vertAlign w:val="baseline"/>
        </w:rPr>
        <w:t xml:space="preserve"> and is available at </w:t>
      </w:r>
      <w:hyperlink r:id="rId8" w:history="1">
        <w:r>
          <w:rPr>
            <w:rFonts w:ascii="arial" w:eastAsia="arial" w:hAnsi="arial" w:cs="arial"/>
            <w:b w:val="0"/>
            <w:i/>
            <w:strike w:val="0"/>
            <w:noProof w:val="0"/>
            <w:color w:val="0077CC"/>
            <w:position w:val="0"/>
            <w:sz w:val="20"/>
            <w:u w:val="single"/>
            <w:vertAlign w:val="baseline"/>
          </w:rPr>
          <w:t>http://www.gpo.gov/fdsys/pkg/FR-2015-03-30/pdf/2015-07213.pdf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provide funding to support expansion of projects supported by strong evidence of effectiveness (as defined in this notice) to the national level (as defined in this notice). In addition to improving outcomes for an increasing number of high-need students, Scale-up grants will generate information about the students and contexts for which a practice is most effective. We expect that Scale-up grants will increase practitioners' and policymakers' understanding of strategies that allow organizations or practices to expand quickly and efficiently while maintaining their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Scale-up grantees must evaluate the effectiveness of the i3-supported practice that the project implements and expands. This is particularly important in instances in which the proposed project includes changing the i3-supported practice in order to more efficiently reach the proposed level of scale (for example, by developing technology-enabled training tools). The evaluation of a Scale-up grant must identify the core elements of, and codify, the i3-supported practice that the project implements in order to support adoption or replication by other entities. We also expect that evaluations of Scale-up grants will be conducted in a variety of contexts and for a variety of students in order to determine the context(s) and population(s) for which the i3-supported practice is most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LEAs of the continuing applicability of the provisions of the Individuals with Disabilities Education Act (IDEA) for students who may be served under i3 grants. Any grants in which LEAs participate must be consistent with the rights, protections, and processes established under IDEA for students who are receiving special education and related services or are in the process of being evaluated to determine their eligibility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later in this notice, in connection with making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an applicant is required, as a condition of receiving assistance under this program, to make civil rights assurances, including an assurance that its program or activity will comply with Section 504 of the Rehabilitation Act of 1973, as amended and the Department's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discrimination on the basis of disability. Regardless of whether a student with disabilities is specifically targeted as a "high-need student" (as defined in this notice) in a particular grant application, recipients are required to comply with all legal nondiscrimination requirements, including, but not limited to the obligation to ensure that students with disabilities are not denied access to the benefits of the recipient's program because of their disability. The Department also enforces Title II of the Americans with Disabilities Act (ADA),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 discrimination on the basis of disability by public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 of the Civil Rights Act of 1964 prohibits discrimination on the basis of race, color and national origin. Title IX of the Education Amendments of 1972 prohibits discrimination on the basis of sex. On December 2, 2011, the Departments of Education and Justice jointly issued guidance that explains how educational institutions can promote student diversity or avoid racial isolation within the framework of Title VI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consideration of the racial demographics of neighborhoods when drawing assignment zones for schools or through targeted recruiting efforts). The "Guidance on the Voluntary Use of Race to Achieve Diversity and Avoid Racial Isolation in Elementary and Secondary Schools" is available on the Department's Web site at </w:t>
      </w:r>
      <w:hyperlink r:id="rId9" w:history="1">
        <w:r>
          <w:rPr>
            <w:rFonts w:ascii="arial" w:eastAsia="arial" w:hAnsi="arial" w:cs="arial"/>
            <w:b w:val="0"/>
            <w:i/>
            <w:strike w:val="0"/>
            <w:noProof w:val="0"/>
            <w:color w:val="0077CC"/>
            <w:position w:val="0"/>
            <w:sz w:val="20"/>
            <w:u w:val="single"/>
            <w:vertAlign w:val="baseline"/>
          </w:rPr>
          <w:t>www.ed.gov/ocr/docs/guidance-ese-201111.pdf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strives to </w:t>
      </w:r>
      <w:r>
        <w:rPr>
          <w:rFonts w:ascii="arial" w:eastAsia="arial" w:hAnsi="arial" w:cs="arial"/>
          <w:b/>
          <w:i w:val="0"/>
          <w:strike w:val="0"/>
          <w:noProof w:val="0"/>
          <w:color w:val="000000"/>
          <w:position w:val="0"/>
          <w:sz w:val="20"/>
          <w:u w:val="none"/>
          <w:vertAlign w:val="baseline"/>
        </w:rPr>
        <w:t> [*32230] </w:t>
      </w:r>
      <w:r>
        <w:rPr>
          <w:rFonts w:ascii="arial" w:eastAsia="arial" w:hAnsi="arial" w:cs="arial"/>
          <w:b w:val="0"/>
          <w:i w:val="0"/>
          <w:strike w:val="0"/>
          <w:noProof w:val="0"/>
          <w:color w:val="000000"/>
          <w:position w:val="0"/>
          <w:sz w:val="20"/>
          <w:u w:val="none"/>
          <w:vertAlign w:val="baseline"/>
        </w:rPr>
        <w:t xml:space="preserve"> improve the academic achievement of high-need students by accelerating the identification of promising solutions to pressing challenges in kindergarten through grade 12 (K-12) public education. The i3 program supports the evaluation of the efficacy of such solutions, and the development of new approaches to scaling effective practices to serve more students. Through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has built a portfolio of grantees that are serving high-need students and building rigorous evidence regarding different approaches to addressing critical challenges in education. When selecting the priorities for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considers several factors, including the Department's policy priorities, the need for new solutions in a particular priority area, the extent of the existing evidence in the field supporting effective practices in a particular priority area, whether other available funding exists for a particular priority area, and the results and lessons learned from projects funded through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i3 grantees are expected to improve academic outcomes for high-need students (as defined in this notice). The FY 2015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sets out five absolute priorities and allows an applicant to choose which absolute priority it will address; however, applicants applying under the Serving Rural Communities priority (Absolute Priority 5) must also address one of the other four absolute priorities, while serving students enrolled in rural LEAs (as defined in this notice). These absolute priorities, as described below, represent persistent challenges in public education for which there are solutions that are supported by rigorous and generalizable evidence. We also include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i3 applicants,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include an absolute priority for projects designed to improve the effectiveness of teachers or principals. Effective teachers and principals are critical to improving student achievement. To address this priority, applicants may focus on any portion of the teacher or principal career path, including scaling effective methods for recruiting, preparing, supporting, evaluating, retaining or rewarding effective teachers or principals. We are particularly interested in efforts that provide differentiated leadership opportunities and roles for teachers or principals, given the increased demands on educators in the area of instructional leadership. We note that LEAs and nonprofits are implementing a wide range of approaches to supporting effective teachers and principals, and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seeks to scale the most effective approaches to reach more students and educators across a range of contexts. Recent research, for example, suggests that novice teachers trained through alternative routes can be recruited, and prepared to perform as effectively as, or in some cases more effectively than, traditional teacher certification programs. n1 As researchers study various strategies for training and supporting novice teachers and principals, the Department seeks to encourage innovative models that can strengthen teaching and school leadership in a cost effective manner.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Clark, M.A., Chiang, H.S., Silva, T., McConnell, S., Sonnenfeld, K., Erbe, A., &amp; Puma, M. (2013). </w:t>
      </w:r>
      <w:r>
        <w:rPr>
          <w:rFonts w:ascii="arial" w:eastAsia="arial" w:hAnsi="arial" w:cs="arial"/>
          <w:b w:val="0"/>
          <w:i/>
          <w:strike w:val="0"/>
          <w:noProof w:val="0"/>
          <w:color w:val="000000"/>
          <w:position w:val="0"/>
          <w:sz w:val="20"/>
          <w:u w:val="none"/>
          <w:vertAlign w:val="baseline"/>
        </w:rPr>
        <w:t>The effectiveness of secondary math teachers from Teach For America and the Teaching Fellows programs.</w:t>
      </w:r>
      <w:r>
        <w:rPr>
          <w:rFonts w:ascii="arial" w:eastAsia="arial" w:hAnsi="arial" w:cs="arial"/>
          <w:b w:val="0"/>
          <w:i w:val="0"/>
          <w:strike w:val="0"/>
          <w:noProof w:val="0"/>
          <w:color w:val="000000"/>
          <w:position w:val="0"/>
          <w:sz w:val="20"/>
          <w:u w:val="none"/>
          <w:vertAlign w:val="baseline"/>
        </w:rPr>
        <w:t xml:space="preserve"> (NCEE 2013-4015). Washington, DC: National Center for Education Evaluation and Regional Assistance, Institute of Education Sciences,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Branch, G.F., Hanushek, E.A., Rivkin, S.G. (2013). School Leaders Matter. </w:t>
      </w:r>
      <w:r>
        <w:rPr>
          <w:rFonts w:ascii="arial" w:eastAsia="arial" w:hAnsi="arial" w:cs="arial"/>
          <w:b w:val="0"/>
          <w:i/>
          <w:strike w:val="0"/>
          <w:noProof w:val="0"/>
          <w:color w:val="000000"/>
          <w:position w:val="0"/>
          <w:sz w:val="20"/>
          <w:u w:val="none"/>
          <w:vertAlign w:val="baseline"/>
        </w:rPr>
        <w:t>Education Next,</w:t>
      </w:r>
      <w:r>
        <w:rPr>
          <w:rFonts w:ascii="arial" w:eastAsia="arial" w:hAnsi="arial" w:cs="arial"/>
          <w:b w:val="0"/>
          <w:i w:val="0"/>
          <w:strike w:val="0"/>
          <w:noProof w:val="0"/>
          <w:color w:val="000000"/>
          <w:position w:val="0"/>
          <w:sz w:val="20"/>
          <w:u w:val="none"/>
          <w:vertAlign w:val="baseline"/>
        </w:rPr>
        <w:t xml:space="preserve"> Vol. 13, No. 1:62-69.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Allen, J., Pianta, R., Gregory, A., Mikami, A., &amp; Lun, J. (2011). An interaction-based approach to enhancing secondary school instruction and student achievement.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333, 1034-1037.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Clark, M.A., Chiang, H.S., Silva, T., McConnell, S., Sonnenfeld, K., Erbe, A., &amp; Puma, M. (2013). </w:t>
      </w:r>
      <w:r>
        <w:rPr>
          <w:rFonts w:ascii="arial" w:eastAsia="arial" w:hAnsi="arial" w:cs="arial"/>
          <w:b w:val="0"/>
          <w:i/>
          <w:strike w:val="0"/>
          <w:noProof w:val="0"/>
          <w:color w:val="000000"/>
          <w:position w:val="0"/>
          <w:sz w:val="20"/>
          <w:u w:val="none"/>
          <w:vertAlign w:val="baseline"/>
        </w:rPr>
        <w:t>The effectiveness of secondary math teachers from Teach For America and the Teaching Fellows programs</w:t>
      </w:r>
      <w:r>
        <w:rPr>
          <w:rFonts w:ascii="arial" w:eastAsia="arial" w:hAnsi="arial" w:cs="arial"/>
          <w:b w:val="0"/>
          <w:i w:val="0"/>
          <w:strike w:val="0"/>
          <w:noProof w:val="0"/>
          <w:color w:val="000000"/>
          <w:position w:val="0"/>
          <w:sz w:val="20"/>
          <w:u w:val="none"/>
          <w:vertAlign w:val="baseline"/>
        </w:rPr>
        <w:t xml:space="preserve"> (NCEE 2013-4015). Washington, DC: National Center for Education Evaluation and Regional Assistance, Institute of Education Sciences,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include an absolute priority for projects designed to implement and support the transition to internationally benchmarked, college- and career-ready academic content standards. Many states have recently raised the expectations for what their students should be able to learn and do across the K-12 grade span, so that all students will be adequately prepared for the rigorous demands of college and career. As the 2015 Brown Center Report on American Education n3 points out, ongoing analysis of the effects of implementing high standards within and across States is crucial to ensuring their effectiveness in improving student achievement. Developing and implementing approaches that provide students and educators necessary information and support throughout this transition to higher standards is key to ensuring that this shift results in improvements in student learning and skills. Through this priority, we seek projects that leverage data from assessments that are aligned with internationally benchmarked, college- and career-ready standards to inform instruction and, ultimately, to support and improve student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Loveless, Tom. How Well are American Students Learning? (March 2015). The 2015 Brown Center Report on American Education. Volume III, Number 4. Available at: </w:t>
      </w:r>
      <w:hyperlink r:id="rId10"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/media/Research/Files/Reports/2015/03/BCR/2015-Brown-Center-Report_FINAL.pdf?la=en.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include an absolute priority aimed at improving science, technology, engineering, and mathematics (STEM) education. Ensuring that all students can access and excel in STEM fields is essential to meeting the needs of our Nation's economy and encouraging our future prosperity. n4 Careers in STEM fields are growing, as is the body of knowledge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succeed in these specialized jobs. n5 Recent Bureau of Labor Statistics data show that, between 2010 and 2020, employment in STEM occupations is expected to expand faster than employment in non-STEM occupations (by 17 versus 14 percent). n6 Moreover, STEM-related skills, such as data analysis, and computational and technical literacy are relevant to a wide array of post-secondary educational and professional pursuits.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Langdon, D.; McKittrick, G.; Beede, D.; Khan, B.; and Doms, M. Office of the Chief Economist, U.S. Department of Commerce. STEM: Good Jobs Now and for the Future (July 2011). Available at: </w:t>
      </w:r>
      <w:hyperlink r:id="rId11" w:history="1">
        <w:r>
          <w:rPr>
            <w:rFonts w:ascii="arial" w:eastAsia="arial" w:hAnsi="arial" w:cs="arial"/>
            <w:b w:val="0"/>
            <w:i/>
            <w:strike w:val="0"/>
            <w:noProof w:val="0"/>
            <w:color w:val="0077CC"/>
            <w:position w:val="0"/>
            <w:sz w:val="20"/>
            <w:u w:val="single"/>
            <w:vertAlign w:val="baseline"/>
          </w:rPr>
          <w:t>www.esa.doc.gov/sites/default/files/reports/documents/stemfinaljuly14.pdf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Chairman's Staff of the Joint Economic Committee. Calculations using data from the Bureau of Labor Statistics. Employment Projections: 2010-20. Table 1.7 Occupational Employment and Job Openings Data, Projected 2010-20, and Worker Characteristics, 2010. February 2012. Available at: </w:t>
      </w:r>
      <w:hyperlink r:id="rId12" w:history="1">
        <w:r>
          <w:rPr>
            <w:rFonts w:ascii="arial" w:eastAsia="arial" w:hAnsi="arial" w:cs="arial"/>
            <w:b w:val="0"/>
            <w:i/>
            <w:strike w:val="0"/>
            <w:noProof w:val="0"/>
            <w:color w:val="0077CC"/>
            <w:position w:val="0"/>
            <w:sz w:val="20"/>
            <w:u w:val="single"/>
            <w:vertAlign w:val="baseline"/>
          </w:rPr>
          <w:t>http://bls.gov/emp/</w:t>
        </w:r>
      </w:hyperlink>
      <w:r>
        <w:rPr>
          <w:rFonts w:ascii="arial" w:eastAsia="arial" w:hAnsi="arial" w:cs="arial"/>
          <w:b w:val="0"/>
          <w:i w:val="0"/>
          <w:strike w:val="0"/>
          <w:noProof w:val="0"/>
          <w:color w:val="000000"/>
          <w:position w:val="0"/>
          <w:sz w:val="20"/>
          <w:u w:val="none"/>
          <w:vertAlign w:val="baseline"/>
        </w:rPr>
        <w:t>. For the purposes of this calculation, STEM occupations are defined as in the U.S. Department of Commerce's Economics and Statistics Administration report, STEM: Good Jobs Now and for the Future. ESA Issue Brief #03-11. July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Chairman's Staff of the Joint Economic Committee. Calculations using data from the Bureau of Labor Statistics. Employment Projections: 2010-20. Table 1.7 Occupational Employment and Job Openings Data, Projected 2010-20, and Worker Characteristics, 2010. February 2012. Available at: </w:t>
      </w:r>
      <w:hyperlink r:id="rId12" w:history="1">
        <w:r>
          <w:rPr>
            <w:rFonts w:ascii="arial" w:eastAsia="arial" w:hAnsi="arial" w:cs="arial"/>
            <w:b w:val="0"/>
            <w:i/>
            <w:strike w:val="0"/>
            <w:noProof w:val="0"/>
            <w:color w:val="0077CC"/>
            <w:position w:val="0"/>
            <w:sz w:val="20"/>
            <w:u w:val="single"/>
            <w:vertAlign w:val="baseline"/>
          </w:rPr>
          <w:t>http://bls.gov/emp/</w:t>
        </w:r>
      </w:hyperlink>
      <w:r>
        <w:rPr>
          <w:rFonts w:ascii="arial" w:eastAsia="arial" w:hAnsi="arial" w:cs="arial"/>
          <w:b w:val="0"/>
          <w:i w:val="0"/>
          <w:strike w:val="0"/>
          <w:noProof w:val="0"/>
          <w:color w:val="000000"/>
          <w:position w:val="0"/>
          <w:sz w:val="20"/>
          <w:u w:val="none"/>
          <w:vertAlign w:val="baseline"/>
        </w:rPr>
        <w:t>. For the purposes of this calculation, STEM occupations are defined as in the U.S. Department of Commerce's Economics and Statistics Administration report, STEM: Good Jobs Now and for the Future. ESA Issue Brief #03-11. July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we include an absolute priority focused on implementing comprehensive high school reform strategies in high schools that are eligible to operate Title I schoolwide programs under Section 1114 of the Elementary and Secondary Education Act of 1965, as amended (ESEA), or in schools that can demonstrate that not less than 40 percent of students are from low-income families. These strategies encompass a broad spectrum of interventions, including, but not limited to: Implementing a rigorous college- and career-ready curriculum that links student work and real-world experiences; providing accelerated learning opportunities that allow </w:t>
      </w:r>
      <w:r>
        <w:rPr>
          <w:rFonts w:ascii="arial" w:eastAsia="arial" w:hAnsi="arial" w:cs="arial"/>
          <w:b/>
          <w:i w:val="0"/>
          <w:strike w:val="0"/>
          <w:noProof w:val="0"/>
          <w:color w:val="000000"/>
          <w:position w:val="0"/>
          <w:sz w:val="20"/>
          <w:u w:val="none"/>
          <w:vertAlign w:val="baseline"/>
        </w:rPr>
        <w:t> [*32231] </w:t>
      </w:r>
      <w:r>
        <w:rPr>
          <w:rFonts w:ascii="arial" w:eastAsia="arial" w:hAnsi="arial" w:cs="arial"/>
          <w:b w:val="0"/>
          <w:i w:val="0"/>
          <w:strike w:val="0"/>
          <w:noProof w:val="0"/>
          <w:color w:val="000000"/>
          <w:position w:val="0"/>
          <w:sz w:val="20"/>
          <w:u w:val="none"/>
          <w:vertAlign w:val="baseline"/>
        </w:rPr>
        <w:t xml:space="preserve"> students to earn credit toward a postsecondary degree, including dual enrollment programs and early-college high schools strategies; implementing early warning indicator systems to identify and target supports for struggling students; personalizing learning for students; and strengthening relationships with business and post-secondary partners to link student work to real-world expectations and experiences. There is also evidence demonstrating that comprehensive academic supports for high school students can improve student outcomes, increasing high school graduation and college preparation, n7 including for high-need students.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Fryer, Roland G. (April 2014). Injecting Charter School Best Practices into Traditional Public Schools: Evidence from Field Experiments.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http://scholar.harvard.edu/files/fryer/files/2014_injecting_charter_school_best_practices_into_traditional_public_schools.pdf</w:t>
        </w:r>
      </w:hyperlink>
      <w:r>
        <w:rPr>
          <w:rFonts w:ascii="arial" w:eastAsia="arial" w:hAnsi="arial" w:cs="arial"/>
          <w:b w:val="0"/>
          <w:i w:val="0"/>
          <w:strike w:val="0"/>
          <w:noProof w:val="0"/>
          <w:color w:val="000000"/>
          <w:position w:val="0"/>
          <w:sz w:val="20"/>
          <w:u w:val="none"/>
          <w:vertAlign w:val="baseline"/>
        </w:rPr>
        <w:t xml:space="preserve">; Sinclair, M.F., Christenson, S.L., Lehr, C.A., &amp; Anderson, A.R. (2003). Facilitating student engagement: Lessons learned from Check &amp; Connect longitudinal studies. The California School Psychologist, 8(1), 29-42. </w:t>
      </w:r>
      <w:r>
        <w:rPr>
          <w:rFonts w:ascii="arial" w:eastAsia="arial" w:hAnsi="arial" w:cs="arial"/>
          <w:b w:val="0"/>
          <w:i/>
          <w:strike w:val="0"/>
          <w:noProof w:val="0"/>
          <w:color w:val="000000"/>
          <w:position w:val="0"/>
          <w:sz w:val="20"/>
          <w:u w:val="none"/>
          <w:vertAlign w:val="baseline"/>
        </w:rPr>
        <w:t xml:space="preserve">IES Intervention Report Available at: </w:t>
      </w:r>
      <w:hyperlink r:id="rId14" w:history="1">
        <w:r>
          <w:rPr>
            <w:rFonts w:ascii="arial" w:eastAsia="arial" w:hAnsi="arial" w:cs="arial"/>
            <w:b w:val="0"/>
            <w:i/>
            <w:strike w:val="0"/>
            <w:noProof w:val="0"/>
            <w:color w:val="0077CC"/>
            <w:position w:val="0"/>
            <w:sz w:val="20"/>
            <w:u w:val="single"/>
            <w:vertAlign w:val="baseline"/>
          </w:rPr>
          <w:t>http://ies.ed.gov/ncee/wwc/interventionreport.aspx?sid=78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Constantine, J.M., Seftor, N.S., Martin, E.S., Silva, T., &amp; Myers, D. (2006). A study of the effect of the Talent Search program on secondary and postsecondary outcomes in Florida, Indiana, and Texas: Final report from phase II of the national evaluation. Report prepared by Mathematica Policy Research for the U.S. Department of Education, Office of Planning, Evaluation, and Policy Development, Policy and Program Studies Service. Washington, DC: U.S. Department of Education. </w:t>
      </w:r>
      <w:r>
        <w:rPr>
          <w:rFonts w:ascii="arial" w:eastAsia="arial" w:hAnsi="arial" w:cs="arial"/>
          <w:b w:val="0"/>
          <w:i/>
          <w:strike w:val="0"/>
          <w:noProof w:val="0"/>
          <w:color w:val="000000"/>
          <w:position w:val="0"/>
          <w:sz w:val="20"/>
          <w:u w:val="none"/>
          <w:vertAlign w:val="baseline"/>
        </w:rPr>
        <w:t xml:space="preserve">IES Intervention Report Available at: </w:t>
      </w:r>
      <w:hyperlink r:id="rId15" w:history="1">
        <w:r>
          <w:rPr>
            <w:rFonts w:ascii="arial" w:eastAsia="arial" w:hAnsi="arial" w:cs="arial"/>
            <w:b w:val="0"/>
            <w:i/>
            <w:strike w:val="0"/>
            <w:noProof w:val="0"/>
            <w:color w:val="0077CC"/>
            <w:position w:val="0"/>
            <w:sz w:val="20"/>
            <w:u w:val="single"/>
            <w:vertAlign w:val="baseline"/>
          </w:rPr>
          <w:t>http://ies.ed.gov/ncee/wwc/interventionreport.aspx?sid=508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Bloom, D., Gardenhire-Crooks, A., &amp; Mandsager, C. (2009). </w:t>
      </w:r>
      <w:r>
        <w:rPr>
          <w:rFonts w:ascii="arial" w:eastAsia="arial" w:hAnsi="arial" w:cs="arial"/>
          <w:b w:val="0"/>
          <w:i/>
          <w:strike w:val="0"/>
          <w:noProof w:val="0"/>
          <w:color w:val="000000"/>
          <w:position w:val="0"/>
          <w:sz w:val="20"/>
          <w:u w:val="none"/>
          <w:vertAlign w:val="baseline"/>
        </w:rPr>
        <w:t>Reengaging high school dropouts: Early results of the National Guard Youth ChalleNGe Program evaluation.</w:t>
      </w:r>
      <w:r>
        <w:rPr>
          <w:rFonts w:ascii="arial" w:eastAsia="arial" w:hAnsi="arial" w:cs="arial"/>
          <w:b w:val="0"/>
          <w:i w:val="0"/>
          <w:strike w:val="0"/>
          <w:noProof w:val="0"/>
          <w:color w:val="000000"/>
          <w:position w:val="0"/>
          <w:sz w:val="20"/>
          <w:u w:val="none"/>
          <w:vertAlign w:val="baseline"/>
        </w:rPr>
        <w:t xml:space="preserve"> New York, NY: MDRC; Cave, G., Bos, H., Doolittle, F., &amp; Toussaint, C. (1993). JOBSTART: Final report on a program for school dropouts. New York, NY: MDRC. </w:t>
      </w:r>
      <w:r>
        <w:rPr>
          <w:rFonts w:ascii="arial" w:eastAsia="arial" w:hAnsi="arial" w:cs="arial"/>
          <w:b w:val="0"/>
          <w:i/>
          <w:strike w:val="0"/>
          <w:noProof w:val="0"/>
          <w:color w:val="000000"/>
          <w:position w:val="0"/>
          <w:sz w:val="20"/>
          <w:u w:val="none"/>
          <w:vertAlign w:val="baseline"/>
        </w:rPr>
        <w:t xml:space="preserve">IES Intervention Report Available at: </w:t>
      </w:r>
      <w:hyperlink r:id="rId16" w:history="1">
        <w:r>
          <w:rPr>
            <w:rFonts w:ascii="arial" w:eastAsia="arial" w:hAnsi="arial" w:cs="arial"/>
            <w:b w:val="0"/>
            <w:i/>
            <w:strike w:val="0"/>
            <w:noProof w:val="0"/>
            <w:color w:val="0077CC"/>
            <w:position w:val="0"/>
            <w:sz w:val="20"/>
            <w:u w:val="single"/>
            <w:vertAlign w:val="baseline"/>
          </w:rPr>
          <w:t>http://ies.ed.gov/ncee/wwc/interventionreport.aspx?sid=248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Larson, K.A., &amp; Rumberger, R.W. (1995). ALAS: Achievement for Latinos through Academic Success. In H. Thornton (Ed.), Staying in school. A technical report of three dropout prevention projects for junior high school students with learning and emotional disabilities. Minneapolis, MN: University of Minnesota, Institute on Community Integration. </w:t>
      </w:r>
      <w:r>
        <w:rPr>
          <w:rFonts w:ascii="arial" w:eastAsia="arial" w:hAnsi="arial" w:cs="arial"/>
          <w:b w:val="0"/>
          <w:i/>
          <w:strike w:val="0"/>
          <w:noProof w:val="0"/>
          <w:color w:val="000000"/>
          <w:position w:val="0"/>
          <w:sz w:val="20"/>
          <w:u w:val="none"/>
          <w:vertAlign w:val="baseline"/>
        </w:rPr>
        <w:t xml:space="preserve">IES Intervention Report Available at: </w:t>
      </w:r>
      <w:hyperlink r:id="rId17" w:history="1">
        <w:r>
          <w:rPr>
            <w:rFonts w:ascii="arial" w:eastAsia="arial" w:hAnsi="arial" w:cs="arial"/>
            <w:b w:val="0"/>
            <w:i/>
            <w:strike w:val="0"/>
            <w:noProof w:val="0"/>
            <w:color w:val="0077CC"/>
            <w:position w:val="0"/>
            <w:sz w:val="20"/>
            <w:u w:val="single"/>
            <w:vertAlign w:val="baseline"/>
          </w:rPr>
          <w:t>http://ies.ed.gov/ncee/wwc/interventionreport.aspx?sid=22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include an absolute priority for serving rural communities. Students living in rural communities face unique challenges, such as lack of access to specialized courses. Applicants applying under this priority must also address one of the other four absolute priorities established for the FY 2015 i3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described above, while serving students enrolled in rural local educational agencies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 FY 2015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encourages applicants to design projects that address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focused on improving cost-effectiveness and productivity. Improvements in operational, organizational, and instructional processes and structures will enable organizations to strengthen their results, and to do so in a more efficient manner. Applicants should provide detailed information about how they aim to modify their processes and structures to improve productivity and how they will evaluate whether the proposed projects are cost-effective when implemented. This may include assessing the cost of comparable or alternative approaches. In order to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applicants addressing this priority must provide a detailed budget, an examination of different types of costs, and a plan to monitor and evaluate cost savings, all of which are essential to improving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enable the broad adoption of effective practices.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rewards applicants that will implement systematic methods for identifying and supporting the expansion of these practices. While all Scale-up grantees must codify the core elements of their i3-supported practices, we are interested in projects that focus particularly on the documentation and replication of practices that have been demonstrated to be effective. In addition, practitioners and policymakers need access to strong, reliable data to make informed decisions about adopting effective practices, particularly to replace less effective alternatives.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supports strategies that identify key elements of effective practices and that capture lessons learned about the implementation of these practices. In addition, an applicant addressing this priority must commit to implementing their approach in multiple settings and locations in order to ensure that the practice can be successfully replicated in different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order to expand the reach of the i3 program and encourage entities that have not previously received an i3 grant to apply, the Department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 A novice i3 applicant is an applicant that has never received a grant under the i3 program. An applicant must identify whether it is a novice applicant when completing the applicant information sheet. Instructions on how to complete the applicant information sheet are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applications must address one of the first four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propose projects designed to implement practices that serve students who are in grades K-12 at some point during the funding period. If an applicant chooses to also address the absolute priority regarding students in rural LEAs, that applicant must also address one of the other four absolute priorities established for the FY 2015 i3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above, while serving students enrolled in rural LEAs (as defined in this notice). Additionally, applicants must be able to show strong evidence of effectiveness (as defined in this notice) for the proposed process, product, strategy, or practice included in their applications. Applicants should carefully review all of the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 for instructions on how to demonstrate strong evidence of effectiveness and for information on the other eligibility and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i3 program includes a statutory requirement for a private-sector match for all i3 grantees. For Scale-up grants, an applicant must obtain matching funds or in-kind donations from the private sector equal to at least 5 percent of its grant award. Each highest-rated application, as identified by the Department following peer review of the applications, must submit evidence of at least 50 percent of the required private-sector match prior to the awarding of an i3 grant. An applicant must provide evidence of the remaining 50 percent of the required private-sector match no later than three months after the project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three months after January 1, 2016, or by April 1, 2016). The grant will be terminated if the grantee does not secure its private-sector match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includes selection criteria for the FY 2015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designed to ensure that applications selected for funding have the potential to generate substantial improvements in student achievement (and other key outcomes), and include well-articulated plans for the implementation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entity that submits an application for a Scale-up grant must include the following information in its application: </w:t>
      </w:r>
      <w:r>
        <w:rPr>
          <w:rFonts w:ascii="arial" w:eastAsia="arial" w:hAnsi="arial" w:cs="arial"/>
          <w:b/>
          <w:i w:val="0"/>
          <w:strike w:val="0"/>
          <w:noProof w:val="0"/>
          <w:color w:val="000000"/>
          <w:position w:val="0"/>
          <w:sz w:val="20"/>
          <w:u w:val="none"/>
          <w:vertAlign w:val="baseline"/>
        </w:rPr>
        <w:t> [*32232] </w:t>
      </w:r>
      <w:r>
        <w:rPr>
          <w:rFonts w:ascii="arial" w:eastAsia="arial" w:hAnsi="arial" w:cs="arial"/>
          <w:b w:val="0"/>
          <w:i w:val="0"/>
          <w:strike w:val="0"/>
          <w:noProof w:val="0"/>
          <w:color w:val="000000"/>
          <w:position w:val="0"/>
          <w:sz w:val="20"/>
          <w:u w:val="none"/>
          <w:vertAlign w:val="baseline"/>
        </w:rPr>
        <w:t xml:space="preserve"> An estimate of the number of students to be served by the project; evidence of the applicant's ability to implement and appropriately evaluate the proposed project; and information about its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capacity, financial resources, and qualified personnel) to implement the project at a national level, working directly or through partners. We recognize that LEAs are not typically responsible for taking their practices, strategies, or programs to scale; however, all applicants can and should partner with others to disseminate their effective practices, strategies, and programs and take them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for Scale-up grants in accordance with the requirements in this notice and determine which applications meet the eligibility and other requirements. Peer reviewers will review all applications for Scale-up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 Scale-up grant application is not supported by strong evidence of effectiveness, or that the applicant does not demonstrate the required prior record of improvement, or does not meet any other i3 requirement, the application will not be considered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five absolute priorities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Absolute Priorities 1, 3, and 5 and the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hyperlink r:id="rId18" w:history="1">
        <w:r>
          <w:rPr>
            <w:rFonts w:ascii="arial" w:eastAsia="arial" w:hAnsi="arial" w:cs="arial"/>
            <w:b w:val="0"/>
            <w:i/>
            <w:strike w:val="0"/>
            <w:noProof w:val="0"/>
            <w:color w:val="0077CC"/>
            <w:position w:val="0"/>
            <w:sz w:val="20"/>
            <w:u w:val="single"/>
            <w:vertAlign w:val="baseline"/>
          </w:rPr>
          <w:t>(78 FR 18682)</w:t>
        </w:r>
      </w:hyperlink>
      <w:r>
        <w:rPr>
          <w:rFonts w:ascii="arial" w:eastAsia="arial" w:hAnsi="arial" w:cs="arial"/>
          <w:b w:val="0"/>
          <w:i w:val="0"/>
          <w:strike w:val="0"/>
          <w:noProof w:val="0"/>
          <w:color w:val="000000"/>
          <w:position w:val="0"/>
          <w:sz w:val="20"/>
          <w:u w:val="none"/>
          <w:vertAlign w:val="baseline"/>
        </w:rPr>
        <w:t xml:space="preserve"> (2013 i3 NFP). Absolute Priority 2 is from the Department's notice of final supplemental priorities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9"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Absolute Priority 4 is from the notice of final priority for this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(2015 i3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2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for a Scale-up grant must choose one of the five absolute priorities. Applications will be peer reviewed and scored; because scores will be rank ordered by absolute priority, it is essential that an applicant clearly identify the specific absolute priority that the proposed project addresses. It is also important to note that applicants that choose to submit an application under the absolute priority for Serving Rural Communities must identify an additional absolute priority. Regardless, the peer-reviewed scores for applications submitted under the Serving Rural Communities priority will be ranked with other applications under its priority, and not included in the ranking for the additional priority that the applicant identified. This design helps us ensure that applicants under the Serving Rural Communities priority receive an "apples to apples" comparison with other rural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1--Improving the Effectiveness of Teachers and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addressing pressing needs related to improving teacher or principal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2--Implementing Internationally Benchmarked College- and Career-Ready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support the implementation of, and transition to, internationally benchmarked college- and career-ready standards and assessments, including developing and implementing strategies that use the standards and information from assessments to inform classroom practices that meet the needs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3--Improving Science, Technology, Engineering, and Mathematics (STEM)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addressing pressing needs for improving STEM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4--Implementing Comprehensive High School Reform and Redesign.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support comprehensive high school reform and redesign strategies in high schools eligible to operate Title I school-wide programs under section 1114 of the Elementary and Secondary Education Act of 1965, as amended, or in schools that can demonstrate that not less than 40 percent of students are from low-income families. These strategies must be designed to increase the number and percentage of students who graduate from high school college- and career-ready and enroll in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strategies could include elements such as implementing a rigorous college- and career-ready curriculum; providing accelerated learning opportunities; supporting personalized learning; developing robust links between student work and real-world experiences to better prepare students for their future; improving the readiness of students for post-secondary education in STEM fields; or reducing the need for remediation, among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5--Serving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one of the absolute priorities established for the 2015 Scale-up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under which the majority of students to be served are enrolled in rural local educational agencies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2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three additional points to applications that meet the first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five additional points to applications that meet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five additional points to applications that meet the third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address more than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identify in the project narrative section of its application the priority or priorities it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not review or award points under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the applicant fails to clearly identify as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the applicant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1--Improving Cost-Effectiveness and Productivity (zero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address one of the following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Substantially improving student outcomes without commensurately increasing per-student costs. </w:t>
      </w:r>
      <w:r>
        <w:rPr>
          <w:rFonts w:ascii="arial" w:eastAsia="arial" w:hAnsi="arial" w:cs="arial"/>
          <w:b/>
          <w:i w:val="0"/>
          <w:strike w:val="0"/>
          <w:noProof w:val="0"/>
          <w:color w:val="000000"/>
          <w:position w:val="0"/>
          <w:sz w:val="20"/>
          <w:u w:val="none"/>
          <w:vertAlign w:val="baseline"/>
        </w:rPr>
        <w:t> [*32233]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Maintaining student outcomes while substantially decreasing per-student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Substantially improving student outcomes while substantially decreasing per-student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Other requirements related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addressing this priority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clear and coherent budget that identifies expected student outcomes before and after the practice, the cost per student for the practice, and a clear calculation of the cost per student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compelling discussion of the expected cost-effectiveness of the practice compared with alternative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clear delineation of one-time costs versus ongoing costs and a plan for sustaining the project, particularly ongoing costs, after the expiration of i3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Identification of specific activities designed to increase substantially the cost-effectiveness of the practice, such as re-designing costly components of the practice (while maintaining efficacy) or testing multiple versions of the practice in order to identify the most cost-effective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project evaluation that addresses the cost-effectiveness of the proposed practice.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2--Enabling Broad Adoption of Effective Practices (zero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enable broad adoption of effective practices. An application proposing to address this priority must, as part of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the practice or practices that the application proposes to prepare for broad adoption, including formalizing the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establish and define key elements of the practice), codifying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 a guide or tools to support the dissemination of information on key elements of the practice), and explaining why there is a need for formalization and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Evaluate different forms of the practice to identify the critical components of the practice that are crucial to its success and sustainability, including the adaptability of critical components to different teaching and learning environments and to diverse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a coherent and comprehensive plan for developing materials, training, toolkits, or other supports that other entities would need in order to implement the practice effectively and with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Commit to assessing the replicability and adaptability of the practice by supporting the implementation of the practice in a variety of locations during the project period using the materials, training, toolkits, or other supports that were developed for the i3-supported practice.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3--Supporting Novice i3 Applicants (zero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that have never directly received a grant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"large sample," "logic model," "multi-site sample," "national level," "quasi-experimental design study," "randomized controlled trial," "regional level," "relevant outcome," "strong evidence of effectiveness," and "What Works Clearinghouse Evidence Standards" are from </w:t>
      </w:r>
      <w:hyperlink r:id="rId2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All other definitions are from the 2013 i3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Consortium of schools</w:t>
      </w:r>
      <w:r>
        <w:rPr>
          <w:rFonts w:ascii="arial" w:eastAsia="arial" w:hAnsi="arial" w:cs="arial"/>
          <w:b w:val="0"/>
          <w:i w:val="0"/>
          <w:strike w:val="0"/>
          <w:noProof w:val="0"/>
          <w:color w:val="000000"/>
          <w:position w:val="0"/>
          <w:sz w:val="20"/>
          <w:u w:val="none"/>
          <w:vertAlign w:val="baseline"/>
        </w:rPr>
        <w:t xml:space="preserve"> means two or more public elementary or secondary schools acting collaboratively for the purpose of applying for and implementing an i3 grant jointly with an eligible nonprofit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is defined by a school's LEA in a manner consistent with the corresponding State's Teacher Equity Plan, as required by section 1111(b)(8)(C) of the ESEA. The applicant must provide, in its i3 application, the definition(s)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graduation rate</w:t>
      </w:r>
      <w:r>
        <w:rPr>
          <w:rFonts w:ascii="arial" w:eastAsia="arial" w:hAnsi="arial" w:cs="arial"/>
          <w:b w:val="0"/>
          <w:i w:val="0"/>
          <w:strike w:val="0"/>
          <w:noProof w:val="0"/>
          <w:color w:val="000000"/>
          <w:position w:val="0"/>
          <w:sz w:val="20"/>
          <w:u w:val="none"/>
          <w:vertAlign w:val="baseline"/>
        </w:rPr>
        <w:t xml:space="preserve"> means a four-year adjusted cohort graduation rate consistent with </w:t>
      </w:r>
      <w:hyperlink r:id="rId22" w:history="1">
        <w:r>
          <w:rPr>
            <w:rFonts w:ascii="arial" w:eastAsia="arial" w:hAnsi="arial" w:cs="arial"/>
            <w:b w:val="0"/>
            <w:i/>
            <w:strike w:val="0"/>
            <w:noProof w:val="0"/>
            <w:color w:val="0077CC"/>
            <w:position w:val="0"/>
            <w:sz w:val="20"/>
            <w:u w:val="single"/>
            <w:vertAlign w:val="baseline"/>
          </w:rPr>
          <w:t>34 CFR 200.19(b)(1)</w:t>
        </w:r>
      </w:hyperlink>
      <w:r>
        <w:rPr>
          <w:rFonts w:ascii="arial" w:eastAsia="arial" w:hAnsi="arial" w:cs="arial"/>
          <w:b w:val="0"/>
          <w:i w:val="0"/>
          <w:strike w:val="0"/>
          <w:noProof w:val="0"/>
          <w:color w:val="000000"/>
          <w:position w:val="0"/>
          <w:sz w:val="20"/>
          <w:u w:val="none"/>
          <w:vertAlign w:val="baseline"/>
        </w:rPr>
        <w:t xml:space="preserve"> and may also include an extended-year adjusted cohort graduation rate consistent with </w:t>
      </w:r>
      <w:hyperlink r:id="rId22" w:history="1">
        <w:r>
          <w:rPr>
            <w:rFonts w:ascii="arial" w:eastAsia="arial" w:hAnsi="arial" w:cs="arial"/>
            <w:b w:val="0"/>
            <w:i/>
            <w:strike w:val="0"/>
            <w:noProof w:val="0"/>
            <w:color w:val="0077CC"/>
            <w:position w:val="0"/>
            <w:sz w:val="20"/>
            <w:u w:val="single"/>
            <w:vertAlign w:val="baseline"/>
          </w:rPr>
          <w:t>34 CFR 200.19(b)(1)(v)</w:t>
        </w:r>
      </w:hyperlink>
      <w:r>
        <w:rPr>
          <w:rFonts w:ascii="arial" w:eastAsia="arial" w:hAnsi="arial" w:cs="arial"/>
          <w:b w:val="0"/>
          <w:i w:val="0"/>
          <w:strike w:val="0"/>
          <w:noProof w:val="0"/>
          <w:color w:val="000000"/>
          <w:position w:val="0"/>
          <w:sz w:val="20"/>
          <w:u w:val="none"/>
          <w:vertAlign w:val="baseline"/>
        </w:rPr>
        <w:t xml:space="preserve"> if the State in which the proposed project is implemented has been approved by the Secretary to use such a rate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2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or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w:t>
      </w:r>
      <w:r>
        <w:rPr>
          <w:rFonts w:ascii="arial" w:eastAsia="arial" w:hAnsi="arial" w:cs="arial"/>
          <w:b/>
          <w:i w:val="0"/>
          <w:strike w:val="0"/>
          <w:noProof w:val="0"/>
          <w:color w:val="000000"/>
          <w:position w:val="0"/>
          <w:sz w:val="20"/>
          <w:u w:val="none"/>
          <w:vertAlign w:val="baseline"/>
        </w:rPr>
        <w:t> [*32234] </w:t>
      </w:r>
      <w:r>
        <w:rPr>
          <w:rFonts w:ascii="arial" w:eastAsia="arial" w:hAnsi="arial" w:cs="arial"/>
          <w:b w:val="0"/>
          <w:i w:val="0"/>
          <w:strike w:val="0"/>
          <w:noProof w:val="0"/>
          <w:color w:val="000000"/>
          <w:position w:val="0"/>
          <w:sz w:val="20"/>
          <w:u w:val="none"/>
          <w:vertAlign w:val="baseline"/>
        </w:rPr>
        <w:t xml:space="preserve">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regional-level project, a process, product, strategy, or practice must serve students in more than one LEA, unless the process, product, strategy, or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and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are at least two studies of the effectiveness of the process, product, strategy, or practice being proposed, each of which: Meets the What Works Clearinghouse Evidence Standards with reservations, found a statistically significant favorable impact on a relevant outcome (with no statistically significant and overriding unfavorable impacts on that outcome for relevant populations in the studies or in other studies of the intervention reviewed by and reported on by the What Works Clearinghouse), includes a sample that overlaps with the populations and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grades and subjects in which assessments are required under ESEA section 1111(b)(3): (1) A student's score on such assessments and may include (2) other measures of student learning, such as those described in paragraph (b), provided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grades and subjects in which assessments are not required under ESEA section 1111(b)(3): Alternative measures of student learning and performance such as student results on pre-tests, end-of-course tests, and objective performance-based assessments; student learning objectives; student performance on English language proficiency assessments; and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American Recovery and Reinvestment Act of 2009, Division A, Section 14007,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2013 i3 NFP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(e) 2015 i3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 The Supplemental Priorities </w:t>
      </w:r>
      <w:hyperlink r:id="rId19"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 or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$ 112,400,000.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the total available for all three types of grants under the i3 program (Development, Validation, and Scale-up grants). Contingent upon the availability of funds and the quality of applications, we may make additional awards in FY 2016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Up to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Up to $ 12,000,000.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Up to $ 20,000,000.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upper limit of the range of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$ 20,000,000 for Scale-up grants) is referred to as the "maximum amount of awards" in section 5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$ 11,500,000.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$ 19,000,000.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9-11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2-4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0-1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Achievement for High-Need Students:</w:t>
      </w:r>
      <w:r>
        <w:rPr>
          <w:rFonts w:ascii="arial" w:eastAsia="arial" w:hAnsi="arial" w:cs="arial"/>
          <w:b w:val="0"/>
          <w:i w:val="0"/>
          <w:strike w:val="0"/>
          <w:noProof w:val="0"/>
          <w:color w:val="000000"/>
          <w:position w:val="0"/>
          <w:sz w:val="20"/>
          <w:u w:val="none"/>
          <w:vertAlign w:val="baseline"/>
        </w:rPr>
        <w:t xml:space="preserve"> All grantees must implement practices that are designed to improve student achievement (as defined in this notice) or student growth (as defined in this notice), close achievement gaps, decrease dropout rates, increase high school graduation rates (as defined in this notice), or increase college enrollment and completion rates for high-need students (as defined in this notice). </w:t>
      </w:r>
      <w:r>
        <w:rPr>
          <w:rFonts w:ascii="arial" w:eastAsia="arial" w:hAnsi="arial" w:cs="arial"/>
          <w:b/>
          <w:i w:val="0"/>
          <w:strike w:val="0"/>
          <w:noProof w:val="0"/>
          <w:color w:val="000000"/>
          <w:position w:val="0"/>
          <w:sz w:val="20"/>
          <w:u w:val="none"/>
          <w:vertAlign w:val="baseline"/>
        </w:rPr>
        <w:t> [*32235]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i3 grants include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partnership between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or more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Eligibility Requirements:</w:t>
      </w:r>
      <w:r>
        <w:rPr>
          <w:rFonts w:ascii="arial" w:eastAsia="arial" w:hAnsi="arial" w:cs="arial"/>
          <w:b w:val="0"/>
          <w:i w:val="0"/>
          <w:strike w:val="0"/>
          <w:noProof w:val="0"/>
          <w:color w:val="000000"/>
          <w:position w:val="0"/>
          <w:sz w:val="20"/>
          <w:u w:val="none"/>
          <w:vertAlign w:val="baseline"/>
        </w:rPr>
        <w:t xml:space="preserve"> Except as specifically set forth in the </w:t>
      </w: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that follows, to be eligible for an award, an eligible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Have significantly closed the achievement gaps between groups of students described in section 1111(b)(2) of the ESEA (economically disadvantaged students, students from major racial and ethnic groups, students with limited English proficiency,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Have demonstrated success in significantly increasing student academic achievement for all groups of students described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Have made significant improvements in other areas, such as high school graduation rates (as defined in this notice) or increased recruitment and placement of high-quality teachers and principals, as demonstrated with meaningful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that it has established one or more partnerships with the private sector, which may include philanthropic organizations, and that organizations in the private sector will provide matching funds in order to help bring results to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an eligible applicant that includes a nonprofit organization, provide in the application the names of the LEAs with which the nonprofit organization will partner, or the names of the schools in the consortium with which it will partner. If an eligible applicant that includes a nonprofit organization intends to partner with additional LEAs or schools that are not named in the application, it must describe in the application the demographic and other characteristics of these LEAs and schools and the process it will use to select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entity submitting an application should provide, in Appendix C, under "Other Attachments Form," of its application, information addressing the eligibility requirements described in this section. An applicant must provide, in its application, sufficient supporting data or other information to allow the Department to determine whether the applicant has met the eligibility requirements. Note that in order to address the statutory eligibility requirement above, applicants must provide data that demonstrate a change. In other words, applicants must provide data for at least two points in time when addressing this requirement in Appendix C of their applications. If the Department determines that an applicant has provided insufficient information in its application, the applicant will not have an opportunity to provide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about LEA Eligibility:</w:t>
      </w:r>
      <w:r>
        <w:rPr>
          <w:rFonts w:ascii="arial" w:eastAsia="arial" w:hAnsi="arial" w:cs="arial"/>
          <w:b w:val="0"/>
          <w:i w:val="0"/>
          <w:strike w:val="0"/>
          <w:noProof w:val="0"/>
          <w:color w:val="000000"/>
          <w:position w:val="0"/>
          <w:sz w:val="20"/>
          <w:u w:val="none"/>
          <w:vertAlign w:val="baseline"/>
        </w:rPr>
        <w:t xml:space="preserve"> For purposes of this program, an LEA is an LEA located within one of the 50 States, the District of Columbia, or the Commonwealth of Puerto Rico.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The authorizing statute specifies that an eligible applicant that includes a nonprofit organization meets the requirements in paragraphs (a) and (b) of the eligibility requirements for this program if the nonprofit organization has a record of significantly improving student achievement, attainment, or retention. For an eligible applicant that includes a nonprofit organization, the nonprofit organization must demonstrate that it has a record of significantly improving student achievement, attainment, or retention through its record of work with an LEA or schools. Therefore, an eligible applicant that includes a nonprofit organization does not necessarily need to include as a partner for its i3 grant an LEA or a consortium of schools that meets the requirements in paragraphs (a) and (b) of the eligibility requirements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authorizing statute specifies that an eligible applicant that includes a nonprofit organization meets the requirements of paragraph (c) of the eligibility requirements in this notice if the eligible applicant demonstrates that it will meet the requirement for private-sector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To be eligible for an award, an applicant must demonstrate that one or more private-sector organizations, which may include philanthropic organizations, will provide matching funds in order to help bring project results to scale. An eligible Scale-up applicant must obtain matching funds, or in-kind donations, equal to at least five percent of its Federal grant award. The highest-rated eligible applicants must submit evidence of 50 percent of the required private-sector matching funds following the peer review of applications. A Federal i3 award will not be made unless the applicant provides adequate evidence that the 50 percent of the required private-sector match has been committed or the Secretary approves the eligible applicant's request to reduce the matching-level requirement. An applicant must provide evidence of the remaining 50 percent of required private-sector match three months after the project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consider decreasing the matching requirement on a case-by-case basis, and only in the most exceptional circumstances. An eligible applicant that anticipates being unable to meet the full amount of the private-sector matching requirement must include in its application a request that the Secretary reduce the matching-level requirement, along with a statement of the basis for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does not provide a request for a reduction of the matching-level requirement in its application may not submit that request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i3 program. These requirements are from the 2013 i3 NFP. We may apply these requirements in any year in which this program is in effect.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Scale-up grant must be supported by strong evidence of effectiveness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should identify up to four study citations to be reviewed against What Works Clearinghouse Evidence Standards for the purposes of meeting the i3 evidence standard requirement. An applicant should clearly identify these citations in Appendix D, under the "Other Attachments Form," of its application. The Department will not review a study citation that an applicant fails to clearly identify for review. In addition to the four study citations, applicants should include a description of the intervention(s) the applicant plans to implement and the intended student outcomes that the intervention(s) attempts to impact in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either ensure that all evidence is available to the Department from publicly available sources and provide links or other </w:t>
      </w:r>
      <w:r>
        <w:rPr>
          <w:rFonts w:ascii="arial" w:eastAsia="arial" w:hAnsi="arial" w:cs="arial"/>
          <w:b/>
          <w:i w:val="0"/>
          <w:strike w:val="0"/>
          <w:noProof w:val="0"/>
          <w:color w:val="000000"/>
          <w:position w:val="0"/>
          <w:sz w:val="20"/>
          <w:u w:val="none"/>
          <w:vertAlign w:val="baseline"/>
        </w:rPr>
        <w:t> [*32236] </w:t>
      </w:r>
      <w:r>
        <w:rPr>
          <w:rFonts w:ascii="arial" w:eastAsia="arial" w:hAnsi="arial" w:cs="arial"/>
          <w:b w:val="0"/>
          <w:i w:val="0"/>
          <w:strike w:val="0"/>
          <w:noProof w:val="0"/>
          <w:color w:val="000000"/>
          <w:position w:val="0"/>
          <w:sz w:val="20"/>
          <w:u w:val="none"/>
          <w:vertAlign w:val="baseline"/>
        </w:rPr>
        <w:t xml:space="preserve"> guidance indicating where it is available; or, in the application, include copies of evidence in Appendix D. If the Department determines that an applicant has provided insufficient information, the applicant will not have an opportunity to provide additional information at a later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i3 program does not restrict the source of prior research providing evidence for the proposed project. As such, an applicant could cite prior research in Appendix D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i3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Validation, and Scale-up grants) for which it applies. An applicant may not submit an application for the same proposed project under more than one type of grant.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(a) No grantee may receive more than two new grant awards of any type under the i3 program in a single year; (b) in any two-year period, no grantee may receive more than one new Scale-up or Validation grant; and (c) no grantee may receive in a single year new i3 grant awards that total an amount greater than the sum of the maximum amount of funds for a Scale-up grant and the maximum amount of funds for a Development grant for that year. For example, in a year when the maximum award value for a Scale-up grant is $ 20 million and the maximum award value for a Development grant is $ 3 million, no grantee may receive in a single year new grants totaling more than $ 23 million.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Subgrants:</w:t>
      </w:r>
      <w:r>
        <w:rPr>
          <w:rFonts w:ascii="arial" w:eastAsia="arial" w:hAnsi="arial" w:cs="arial"/>
          <w:b w:val="0"/>
          <w:i w:val="0"/>
          <w:strike w:val="0"/>
          <w:noProof w:val="0"/>
          <w:color w:val="000000"/>
          <w:position w:val="0"/>
          <w:sz w:val="20"/>
          <w:u w:val="none"/>
          <w:vertAlign w:val="baseline"/>
        </w:rPr>
        <w:t xml:space="preserve"> In the case of an eligible applicant that is a partnership between a nonprofit organization and (1) one or more LEAs or (2) a consortium of schools, the partner serving as the applicant and, if funded, as the grantee, may make subgrants to one or more entities in the partnership.</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i3-supported practice (as implemented at the proposed level of scale) on a relevant outcome (as defined in this notice).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For Scale-up and Validation grants,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All of these updates must be consistent with the scope and objectives of the approved application.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Communities of Practice:</w:t>
      </w:r>
      <w:r>
        <w:rPr>
          <w:rFonts w:ascii="arial" w:eastAsia="arial" w:hAnsi="arial" w:cs="arial"/>
          <w:b w:val="0"/>
          <w:i w:val="0"/>
          <w:strike w:val="0"/>
          <w:noProof w:val="0"/>
          <w:color w:val="000000"/>
          <w:position w:val="0"/>
          <w:sz w:val="20"/>
          <w:u w:val="none"/>
          <w:vertAlign w:val="baseline"/>
        </w:rPr>
        <w:t xml:space="preserve"> Grantees must participate in, organize, or facilitate, as appropriate, communities of practice for the i3 program. A community of practice is a group of grantees that agrees to interact regularly to solve a persistent problem or improve practice in an area that is important to them.</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4" w:history="1">
        <w:r>
          <w:rPr>
            <w:rFonts w:ascii="arial" w:eastAsia="arial" w:hAnsi="arial" w:cs="arial"/>
            <w:b w:val="0"/>
            <w:i/>
            <w:strike w:val="0"/>
            <w:noProof w:val="0"/>
            <w:color w:val="0077CC"/>
            <w:position w:val="0"/>
            <w:sz w:val="20"/>
            <w:u w:val="single"/>
            <w:vertAlign w:val="baseline"/>
          </w:rPr>
          <w:t>http://www2.ed.gov/programs/innovation/index.html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Submit Application: June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one absolute priority the applicant intends to address. Applicants may access this form online at </w:t>
      </w:r>
      <w:hyperlink r:id="rId27" w:history="1">
        <w:r>
          <w:rPr>
            <w:rFonts w:ascii="arial" w:eastAsia="arial" w:hAnsi="arial" w:cs="arial"/>
            <w:b w:val="0"/>
            <w:i/>
            <w:strike w:val="0"/>
            <w:noProof w:val="0"/>
            <w:color w:val="0077CC"/>
            <w:position w:val="0"/>
            <w:sz w:val="20"/>
            <w:u w:val="single"/>
            <w:vertAlign w:val="baseline"/>
          </w:rPr>
          <w:t>https://www.surveymonkey.com/r/VWFQPMD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an application. Page Limit: The application narrative (Part III of the application) is where you, the applicant, address the selection criteria that reviewers use to evaluate your application. Applicants should limit the application narrative Part III for a Scale-up grant application to no more than 50 pages. Applicants are also strongly encouraged not to include lengthy appendices that contain information that they were unable to include within the page limits for the narrative. Applicants should use the following standards: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a font that is either 12 point or larger or no smaller than 10 pitch (characters per inch). </w:t>
      </w:r>
      <w:r>
        <w:rPr>
          <w:rFonts w:ascii="arial" w:eastAsia="arial" w:hAnsi="arial" w:cs="arial"/>
          <w:b/>
          <w:i w:val="0"/>
          <w:strike w:val="0"/>
          <w:noProof w:val="0"/>
          <w:color w:val="000000"/>
          <w:position w:val="0"/>
          <w:sz w:val="20"/>
          <w:u w:val="none"/>
          <w:vertAlign w:val="baseline"/>
        </w:rPr>
        <w:t> [*32237]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resumes, the bibliography, or the letters of support of the application. However, the page limit does apply to all of the application narrative section Part III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i3 program, some applications may include business information that applicants consider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8"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plan on posting the project narrative section of funded i3 applications on the Department's Web site so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8"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Informational Meetings: The i3 program intends to hold Webinars designed to provide technical assistance to interested applicants for all three types of grants. Detailed information regarding these meetings will be provided on the i3 Web site at </w:t>
      </w:r>
      <w:r>
        <w:rPr>
          <w:rFonts w:ascii="arial" w:eastAsia="arial" w:hAnsi="arial" w:cs="arial"/>
          <w:b w:val="0"/>
          <w:i/>
          <w:strike w:val="0"/>
          <w:noProof w:val="0"/>
          <w:color w:val="000000"/>
          <w:position w:val="0"/>
          <w:sz w:val="20"/>
          <w:u w:val="none"/>
          <w:vertAlign w:val="baseline"/>
        </w:rPr>
        <w:t>www2.ed.gov/programs/innovation/index.html.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August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October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for the i3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i3 program, CFDA number 84.411A (Scale-up grants), must be submitted electronically using the Governmentwide Grants.gov Apply site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w:t>
      </w:r>
      <w:r>
        <w:rPr>
          <w:rFonts w:ascii="arial" w:eastAsia="arial" w:hAnsi="arial" w:cs="arial"/>
          <w:b/>
          <w:i w:val="0"/>
          <w:strike w:val="0"/>
          <w:noProof w:val="0"/>
          <w:color w:val="000000"/>
          <w:position w:val="0"/>
          <w:sz w:val="20"/>
          <w:u w:val="none"/>
          <w:vertAlign w:val="baseline"/>
        </w:rPr>
        <w:t> [*32238] </w:t>
      </w:r>
      <w:r>
        <w:rPr>
          <w:rFonts w:ascii="arial" w:eastAsia="arial" w:hAnsi="arial" w:cs="arial"/>
          <w:b w:val="0"/>
          <w:i w:val="0"/>
          <w:strike w:val="0"/>
          <w:noProof w:val="0"/>
          <w:color w:val="000000"/>
          <w:position w:val="0"/>
          <w:sz w:val="20"/>
          <w:u w:val="none"/>
          <w:vertAlign w:val="baseline"/>
        </w:rPr>
        <w:t xml:space="preserve">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i3 program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4C107, Washington, DC 20202-5930. FAX: (202) 205-5631.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paper application must be submitted in accordance with the mail or hand delivery instructions described in this notice. </w:t>
      </w:r>
      <w:r>
        <w:rPr>
          <w:rFonts w:ascii="arial" w:eastAsia="arial" w:hAnsi="arial" w:cs="arial"/>
          <w:b/>
          <w:i w:val="0"/>
          <w:strike w:val="0"/>
          <w:noProof w:val="0"/>
          <w:color w:val="000000"/>
          <w:position w:val="0"/>
          <w:sz w:val="20"/>
          <w:u w:val="none"/>
          <w:vertAlign w:val="baseline"/>
        </w:rPr>
        <w:t> [*32239]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2013 i3 NFP and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provide information on how its proposed project addresses the selection criteria in the project narrative section of its application. In responding to the selection criteria, applicants should keep in mind that peer reviewers may consider only the information provided in the written application when scoring and commenting on the application. Therefore, applicants should structure their applications with the goal of helping peer reviewers understand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applicant is proposing to do, including the absolute priority (or, if the applicant has selected the absolute priority for Serving Rural Communities, the absolute priorities) under which the applicant intends the application to be reviewed;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project will reach a national level of scale that the applicant was previously unable to reach;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outcomes of the project will be if it is successful, including how those outcomes will be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for the Scale-up Grant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involves the development or demonstration of promising new strategies that build on, or are alternatives to, existing strategies.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potential replicability of the proposed project or strategies, including, as appropriate, the potential for implementation in a variety of settings.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addresses a challenge for which there is a national need for solutions that are better than the solutions currently available. (2013 i3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Strategy to Scale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applicant's capacity to scale the proposed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there is unmet demand for the process, product, strategy or practice that will enable the applicant to reach the level of scale that is proposed in the application.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will use grant funds to address a particular barrier or barriers that prevented the applicant, in the past, from reaching the level of scale proposed in the application.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mechanisms the applicant will use to broadly disseminate information on its project so as to support further development or replication.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Quality of the Project Design and Management Plan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clarity and coherence of the applicant's multi-year financial and operating model and accompanying plan to operate the project at a national or regional level (as defined in this notice) during the project period.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adequacy of procedures for ensuring feedback and continuous improvement in the operation of the proposed project.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methods of evaluation will, if well implemented, </w:t>
      </w:r>
      <w:r>
        <w:rPr>
          <w:rFonts w:ascii="arial" w:eastAsia="arial" w:hAnsi="arial" w:cs="arial"/>
          <w:b/>
          <w:i w:val="0"/>
          <w:strike w:val="0"/>
          <w:noProof w:val="0"/>
          <w:color w:val="000000"/>
          <w:position w:val="0"/>
          <w:sz w:val="20"/>
          <w:u w:val="none"/>
          <w:vertAlign w:val="baseline"/>
        </w:rPr>
        <w:t> [*32240] </w:t>
      </w:r>
      <w:r>
        <w:rPr>
          <w:rFonts w:ascii="arial" w:eastAsia="arial" w:hAnsi="arial" w:cs="arial"/>
          <w:b w:val="0"/>
          <w:i w:val="0"/>
          <w:strike w:val="0"/>
          <w:noProof w:val="0"/>
          <w:color w:val="000000"/>
          <w:position w:val="0"/>
          <w:sz w:val="20"/>
          <w:u w:val="none"/>
          <w:vertAlign w:val="baseline"/>
        </w:rPr>
        <w:t xml:space="preserve"> produce evidence about the project's effectiveness that would meet the What Works Clearinghouse Evidence Standards without reservations.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clarity and importance of the key questions to be addressed by the project evaluation, and the appropriateness of the methods for how each question will be addressed.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evaluation will study the project at the proposed level of scale, including, where appropriate, generating information about potential differential effectiveness of the project in diverse settings and for diverse student population groups.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evaluation plan includes a clear and credible analysis plan, including a proposed sample size and minimum detectable effect size that aligns with the expected project impact, and an analytic approach for addressing the research questions.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evaluation plan clearly articulates the key components and outcomes of the project, as well as a measurable threshold for acceptable implementation.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proposed project plan includes sufficient resources to carry out the project evaluation effectively. (2013 i3 NFP)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design an evaluation that will report findings on English Learners, students with disabilities, and other subgroups. Additionally, applicants may wish to review the following technical assistance resources on evaluation: (1) WWC Procedures and Standards Handbook: </w:t>
      </w:r>
      <w:hyperlink r:id="rId34"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35"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invite applicants to view two optional Webinar recordings that were hosted by the Institute of Education Sciences. The first Webinar discussed strategies for designing and executing well-designed quasi-experimental design studies. Applicants interested in viewing this Webinar may find more information at the following Web site: </w:t>
      </w:r>
      <w:hyperlink r:id="rId36" w:history="1">
        <w:r>
          <w:rPr>
            <w:rFonts w:ascii="arial" w:eastAsia="arial" w:hAnsi="arial" w:cs="arial"/>
            <w:b w:val="0"/>
            <w:i/>
            <w:strike w:val="0"/>
            <w:noProof w:val="0"/>
            <w:color w:val="0077CC"/>
            <w:position w:val="0"/>
            <w:sz w:val="20"/>
            <w:u w:val="single"/>
            <w:vertAlign w:val="baseline"/>
          </w:rPr>
          <w:t>http://ies.ed.gov/ncee/wwc/news.aspx?sid=23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encourage applicants to review a second Webinar recorded by the IES that focused on more rigorous evaluation designs. This Webinar discusses strategies for designing and executing studies that meet WWC standards without reservations. Applicants interested in reviewing this Webinar may find more information at the following Web site: </w:t>
      </w:r>
      <w:hyperlink r:id="rId37" w:history="1">
        <w:r>
          <w:rPr>
            <w:rFonts w:ascii="arial" w:eastAsia="arial" w:hAnsi="arial" w:cs="arial"/>
            <w:b w:val="0"/>
            <w:i/>
            <w:strike w:val="0"/>
            <w:noProof w:val="0"/>
            <w:color w:val="0077CC"/>
            <w:position w:val="0"/>
            <w:sz w:val="20"/>
            <w:u w:val="single"/>
            <w:vertAlign w:val="baseline"/>
          </w:rPr>
          <w:t>http://ies.ed.gov/ncee/wwc/News.aspx?sid=18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As described earlier in this notice, 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application review processes, we will use independent peer reviewers with varied backgrounds and professions including pre-kindergarten-grade 12 teachers and principals, college and university educators, researchers and evaluators, social entrepreneurs, strategy consultants, grant makers and managers, and others with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and score the assigned applications, using the selection criteria provided in this notice. For Scale-up grant applications, the Department intends to conduct a single tier review. If an eligible applicant has chosen to address either of the first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(Improving Cost-Effectiveness and Productivity or Enabling Broad Adoption of Effective Practices) in order to earn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reviewers will review and score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are awarded, those points will be included in the eligible applicant's overall score. If an eligible applicant chooses to address the last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(Supporting Novice i3 Applicants) in order to earn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Department will review its list of previous i3 grantees in scoring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4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7" w:history="1">
        <w:r>
          <w:rPr>
            <w:rFonts w:ascii="arial" w:eastAsia="arial" w:hAnsi="arial" w:cs="arial"/>
            <w:b w:val="0"/>
            <w:i/>
            <w:strike w:val="0"/>
            <w:noProof w:val="0"/>
            <w:color w:val="0077CC"/>
            <w:position w:val="0"/>
            <w:sz w:val="20"/>
            <w:u w:val="single"/>
            <w:vertAlign w:val="baseline"/>
          </w:rPr>
          <w:t xml:space="preserve">34 CFR </w:t>
        </w:r>
      </w:hyperlink>
      <w:hyperlink r:id="rId47" w:history="1">
        <w:r>
          <w:rPr>
            <w:rFonts w:ascii="arial" w:eastAsia="arial" w:hAnsi="arial" w:cs="arial"/>
            <w:b/>
            <w:i/>
            <w:strike w:val="0"/>
            <w:noProof w:val="0"/>
            <w:color w:val="0077CC"/>
            <w:position w:val="0"/>
            <w:sz w:val="20"/>
            <w:u w:val="single"/>
            <w:vertAlign w:val="baseline"/>
          </w:rPr>
          <w:t> [*32241] </w:t>
        </w:r>
      </w:hyperlink>
      <w:hyperlink r:id="rId47" w:history="1">
        <w:r>
          <w:rPr>
            <w:rFonts w:ascii="arial" w:eastAsia="arial" w:hAnsi="arial" w:cs="arial"/>
            <w:b w:val="0"/>
            <w:i/>
            <w:strike w:val="0"/>
            <w:noProof w:val="0"/>
            <w:color w:val="0077CC"/>
            <w:position w:val="0"/>
            <w:sz w:val="20"/>
            <w:u w:val="single"/>
            <w:vertAlign w:val="baseline"/>
          </w:rPr>
          <w:t xml:space="preserve">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i3 program is to expand the implementation of, and investment in, innovative practices that are demonstrated to have an impact on improving student achievement or student growth for high-need students. We have established several performance measures for the i3 Scale-up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programs, practices, or strategies supported by a Scale-up grant with ongoing well-designed and independent evaluations that will provide evidence of their effectiveness at improving student outcomes at scale; (3) the percentage of programs, practices, or strategies supported by a Scale-up grant with ongoing evaluations that are providing high-quality implementation data and performance feedback that allow for periodic assessment of progress toward achieving intended outcomes; and (4) the cost per student actually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programs, practices, or strategies supported by a Scale-up grant that implement a completed well-designed, well-implemented and independent evaluation that provides evidence of their effectiveness at improving student outcomes at scale; (3) the percentage of programs, practices, or strategies supported by a Scale-up grant with a completed well-designed, well-implemented and independent evaluation that provides information about the key elements and the approach of the project so as to facilitate replication or testing in other settings; and (4) the cost per student for programs, practices, or strategies that were proven to be effective at improving educational outcomes for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Terpak, U.S. Department of Education, 400 Maryland Avenue SW., Room 4C107, Washington, DC 20202-5930. Telephone: (202) 453-7122. FAX: (202) 205-5631 or by email: </w:t>
      </w:r>
      <w:hyperlink r:id="rId50"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2015-13673 Filed 6-4-15;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October 5,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32229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rookings.edu/" TargetMode="External" /><Relationship Id="rId11" Type="http://schemas.openxmlformats.org/officeDocument/2006/relationships/hyperlink" Target="http://www.esa.doc.gov/sites/default/files/reports/documents/stemfinaljuly14.pdf" TargetMode="External" /><Relationship Id="rId12" Type="http://schemas.openxmlformats.org/officeDocument/2006/relationships/hyperlink" Target="http://bls.gov/emp/" TargetMode="External" /><Relationship Id="rId13" Type="http://schemas.openxmlformats.org/officeDocument/2006/relationships/hyperlink" Target="http://scholar.harvard.edu/files/fryer/files/2014_injecting_charter_school_best_practices_into_traditional_public_schools.pdf" TargetMode="External" /><Relationship Id="rId14" Type="http://schemas.openxmlformats.org/officeDocument/2006/relationships/hyperlink" Target="http://ies.ed.gov/ncee/wwc/interventionreport.aspx?sid=78" TargetMode="External" /><Relationship Id="rId15" Type="http://schemas.openxmlformats.org/officeDocument/2006/relationships/hyperlink" Target="http://ies.ed.gov/ncee/wwc/interventionreport.aspx?sid=508" TargetMode="External" /><Relationship Id="rId16" Type="http://schemas.openxmlformats.org/officeDocument/2006/relationships/hyperlink" Target="http://ies.ed.gov/ncee/wwc/interventionreport.aspx?sid=248" TargetMode="External" /><Relationship Id="rId17" Type="http://schemas.openxmlformats.org/officeDocument/2006/relationships/hyperlink" Target="http://ies.ed.gov/ncee/wwc/interventionreport.aspx?sid=22" TargetMode="External" /><Relationship Id="rId18" Type="http://schemas.openxmlformats.org/officeDocument/2006/relationships/hyperlink" Target="https://advance.lexis.com/api/document?collection=administrative-codes&amp;id=urn:contentItem:582B-YMT0-006W-82N6-00000-00&amp;context=" TargetMode="External" /><Relationship Id="rId19" Type="http://schemas.openxmlformats.org/officeDocument/2006/relationships/hyperlink" Target="https://advance.lexis.com/api/document?collection=administrative-codes&amp;id=urn:contentItem:5DT7-0130-006W-81Y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BK-00000-00&amp;context=" TargetMode="External" /><Relationship Id="rId21" Type="http://schemas.openxmlformats.org/officeDocument/2006/relationships/hyperlink" Target="https://advance.lexis.com/api/document?collection=administrative-codes&amp;id=urn:contentItem:5S7T-7HV0-008H-03HM-00000-00&amp;context=" TargetMode="External" /><Relationship Id="rId22" Type="http://schemas.openxmlformats.org/officeDocument/2006/relationships/hyperlink" Target="https://advance.lexis.com/api/document?collection=administrative-codes&amp;id=urn:contentItem:5P25-NG20-008H-02V3-00000-00&amp;context=" TargetMode="External" /><Relationship Id="rId23" Type="http://schemas.openxmlformats.org/officeDocument/2006/relationships/hyperlink" Target="http://ies.ed.gov/ncee/wwc/DocumentSum.aspx?sid=19" TargetMode="External" /><Relationship Id="rId24" Type="http://schemas.openxmlformats.org/officeDocument/2006/relationships/hyperlink" Target="http://www2.ed.gov/programs/innovation/index.html" TargetMode="External" /><Relationship Id="rId25" Type="http://schemas.openxmlformats.org/officeDocument/2006/relationships/hyperlink" Target="http://www.EDPubs.gov" TargetMode="External" /><Relationship Id="rId26" Type="http://schemas.openxmlformats.org/officeDocument/2006/relationships/hyperlink" Target="mailto:edpubs@inet.ed.gov" TargetMode="External" /><Relationship Id="rId27" Type="http://schemas.openxmlformats.org/officeDocument/2006/relationships/hyperlink" Target="https://www.surveymonkey.com/r/VWFQPMD" TargetMode="External" /><Relationship Id="rId28" Type="http://schemas.openxmlformats.org/officeDocument/2006/relationships/hyperlink" Target="https://advance.lexis.com/api/document?collection=administrative-codes&amp;id=urn:contentItem:5G9C-N1H0-008H-002J-00000-00&amp;context=" TargetMode="External" /><Relationship Id="rId29" Type="http://schemas.openxmlformats.org/officeDocument/2006/relationships/hyperlink" Target="http://www.SAM.gov" TargetMode="External" /><Relationship Id="rId3" Type="http://schemas.openxmlformats.org/officeDocument/2006/relationships/fontTable" Target="fontTable.xml" /><Relationship Id="rId30" Type="http://schemas.openxmlformats.org/officeDocument/2006/relationships/hyperlink" Target="http://www.grants.gov/web/grants/register.html" TargetMode="External" /><Relationship Id="rId31" Type="http://schemas.openxmlformats.org/officeDocument/2006/relationships/hyperlink" Target="http://www.Grants.gov" TargetMode="External" /><Relationship Id="rId32" Type="http://schemas.openxmlformats.org/officeDocument/2006/relationships/hyperlink" Target="http://www.G5.gov" TargetMode="External" /><Relationship Id="rId33" Type="http://schemas.openxmlformats.org/officeDocument/2006/relationships/hyperlink" Target="https://advance.lexis.com/api/document?collection=administrative-codes&amp;id=urn:contentItem:5S7T-7HS0-008H-02VY-00000-00&amp;context=" TargetMode="External" /><Relationship Id="rId34" Type="http://schemas.openxmlformats.org/officeDocument/2006/relationships/hyperlink" Target="http://ies.ed.gov/ncee/wwc/references/idocviewer/doc.aspx?docid=19&amp;tocid=1" TargetMode="External" /><Relationship Id="rId35" Type="http://schemas.openxmlformats.org/officeDocument/2006/relationships/hyperlink" Target="http://ies.ed.gov/ncee/tech_methods/" TargetMode="External" /><Relationship Id="rId36" Type="http://schemas.openxmlformats.org/officeDocument/2006/relationships/hyperlink" Target="http://ies.ed.gov/ncee/wwc/news.aspx?sid=23" TargetMode="External" /><Relationship Id="rId37" Type="http://schemas.openxmlformats.org/officeDocument/2006/relationships/hyperlink" Target="http://ies.ed.gov/ncee/wwc/News.aspx?sid=18" TargetMode="External" /><Relationship Id="rId38" Type="http://schemas.openxmlformats.org/officeDocument/2006/relationships/hyperlink" Target="https://advance.lexis.com/api/document?collection=administrative-codes&amp;id=urn:contentItem:5GMB-DPB0-008H-02GP-00000-00&amp;context=" TargetMode="External" /><Relationship Id="rId39" Type="http://schemas.openxmlformats.org/officeDocument/2006/relationships/hyperlink" Target="https://advance.lexis.com/api/document?collection=administrative-codes&amp;id=urn:contentItem:5KS0-F5W0-008H-023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5H-J1H0-008H-043K-00000-00&amp;context=" TargetMode="External" /><Relationship Id="rId41" Type="http://schemas.openxmlformats.org/officeDocument/2006/relationships/hyperlink" Target="https://advance.lexis.com/api/document?collection=administrative-codes&amp;id=urn:contentItem:5KS0-F5W0-008H-024V-00000-00&amp;context=" TargetMode="External" /><Relationship Id="rId42" Type="http://schemas.openxmlformats.org/officeDocument/2006/relationships/hyperlink" Target="https://advance.lexis.com/api/document?collection=administrative-codes&amp;id=urn:contentItem:5KS0-F600-008H-02PT-00000-00&amp;context=" TargetMode="External" /><Relationship Id="rId43" Type="http://schemas.openxmlformats.org/officeDocument/2006/relationships/hyperlink" Target="https://advance.lexis.com/api/document?collection=administrative-codes&amp;id=urn:contentItem:5KS0-F5W0-008H-025B-00000-00&amp;context=" TargetMode="External" /><Relationship Id="rId44" Type="http://schemas.openxmlformats.org/officeDocument/2006/relationships/hyperlink" Target="https://advance.lexis.com/api/document?collection=administrative-codes&amp;id=urn:contentItem:5F34-Y1R0-008G-Y1F9-00000-00&amp;context=" TargetMode="External" /><Relationship Id="rId45" Type="http://schemas.openxmlformats.org/officeDocument/2006/relationships/hyperlink" Target="https://advance.lexis.com/api/document?collection=administrative-codes&amp;id=urn:contentItem:5F2R-48P0-008G-Y31V-00000-00&amp;context=" TargetMode="External" /><Relationship Id="rId46" Type="http://schemas.openxmlformats.org/officeDocument/2006/relationships/hyperlink" Target="https://advance.lexis.com/api/document?collection=administrative-codes&amp;id=urn:contentItem:5GMB-DPC0-008H-02S7-00000-00&amp;context=" TargetMode="External" /><Relationship Id="rId47" Type="http://schemas.openxmlformats.org/officeDocument/2006/relationships/hyperlink" Target="https://advance.lexis.com/api/document?collection=administrative-codes&amp;id=urn:contentItem:5GMB-DPC0-008H-02SK-00000-00&amp;context=" TargetMode="External" /><Relationship Id="rId48" Type="http://schemas.openxmlformats.org/officeDocument/2006/relationships/hyperlink" Target="http://www.ed.gov/fund/grant/apply/appforms/appforms.html" TargetMode="External" /><Relationship Id="rId49" Type="http://schemas.openxmlformats.org/officeDocument/2006/relationships/hyperlink" Target="https://advance.lexis.com/api/document?collection=administrative-codes&amp;id=urn:contentItem:5GMB-DPB0-008H-02K8-00000-00&amp;context=" TargetMode="External" /><Relationship Id="rId5" Type="http://schemas.openxmlformats.org/officeDocument/2006/relationships/footer" Target="footer1.xml" /><Relationship Id="rId50" Type="http://schemas.openxmlformats.org/officeDocument/2006/relationships/hyperlink" Target="mailto:i3@ed.gov" TargetMode="External" /><Relationship Id="rId51" Type="http://schemas.openxmlformats.org/officeDocument/2006/relationships/hyperlink" Target="http://www.gpo.gov/fdsys" TargetMode="External" /><Relationship Id="rId52" Type="http://schemas.openxmlformats.org/officeDocument/2006/relationships/hyperlink" Target="http://www.federalregister.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4Y-KPR0-006W-80MR-00000-00&amp;context=" TargetMode="External" /><Relationship Id="rId8" Type="http://schemas.openxmlformats.org/officeDocument/2006/relationships/hyperlink" Target="http://www.gpo.gov/fdsys/pkg/FR-2015-03-30/pdf/2015-07213.pdf" TargetMode="External" /><Relationship Id="rId9" Type="http://schemas.openxmlformats.org/officeDocument/2006/relationships/hyperlink" Target="http://www.ed.gov/ocr/docs/guidance-ese-201111.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