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33499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113, Friday, June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33499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Charter Schools Program (CSP); Grants for Replication and Expansion of High-Quality Charter Schools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 Grants for Replication and Expansion of 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84.282M.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CSP is to increase national understanding of the charter school model by expanding the number of high-quality charter schools available to students across the Nation; providing financial assistance for the planning, program design, and initial implementation of charter schools; and evaluating the effects of charter schools, including their effects on students, student academic achievement, staff,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CSP Grants for Replication and Expansion of High-Quality Charter Schools (Replication and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84.282M) is to award grants to eligible applicants to enable them to replicate or expand high-quality charter schools with demonstrated records of success, including success in increasing student academic achievement. Eligible applicants may use their grant funds to expand the enrollment of one or more existing charter schools by substantially increasing the number of available seats per school or to open one or more new charter schools that are based on the charter school model for which the eligible applicant has presented evidence of success.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FY 2015 Replication and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differs from the FY 2014 Replication and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several ways. First, 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using the Low-Income Demographic priority from the final priorities, requirements,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12, 2011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(Final Priorities), as an absolute priority. The Department has added this as an absolute priority in order to ensure that projects are designed to meet the needs of educationally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for FY 2015, the Department has consolidated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into a single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designed to support specific types of high-need students. Applicants addressing this priority may select and address only one of these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Element (a)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1--High Need Students</w:t>
      </w:r>
      <w:r>
        <w:rPr>
          <w:rFonts w:ascii="arial" w:eastAsia="arial" w:hAnsi="arial" w:cs="arial"/>
          <w:b w:val="0"/>
          <w:i w:val="0"/>
          <w:strike w:val="0"/>
          <w:noProof w:val="0"/>
          <w:color w:val="000000"/>
          <w:position w:val="0"/>
          <w:sz w:val="20"/>
          <w:u w:val="none"/>
          <w:vertAlign w:val="baseline"/>
        </w:rPr>
        <w:t xml:space="preserve"> is for projects designed to support students who are members of federally recognized Indian tribes. This priority is from the Secretary's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9"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(Final Supplemental Priorities). The Department understands that Native American communities confront unique educational challenges and have developed unique strategies to meet those challenges. This element is designed to encourage collaboration between charter school developers and Native American communities, as part of these communities' efforts to strengthen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Element (b)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1--High Need Students</w:t>
      </w:r>
      <w:r>
        <w:rPr>
          <w:rFonts w:ascii="arial" w:eastAsia="arial" w:hAnsi="arial" w:cs="arial"/>
          <w:b w:val="0"/>
          <w:i w:val="0"/>
          <w:strike w:val="0"/>
          <w:noProof w:val="0"/>
          <w:color w:val="000000"/>
          <w:position w:val="0"/>
          <w:sz w:val="20"/>
          <w:u w:val="none"/>
          <w:vertAlign w:val="baseline"/>
        </w:rPr>
        <w:t xml:space="preserve"> is for projects designed to replicate and expand high-quality charter schools in order to support school improvement efforts by local educational agencies (LEAs). As one of the Department's top priorities is to help turn around the Nation's lowest-performing public schools, this element is designed to link LEAs with high-quality charter schools as effective partners in school intervention projects. This element comes from the Final Priorities for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Element (c)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1--High Need Students</w:t>
      </w:r>
      <w:r>
        <w:rPr>
          <w:rFonts w:ascii="arial" w:eastAsia="arial" w:hAnsi="arial" w:cs="arial"/>
          <w:b w:val="0"/>
          <w:i w:val="0"/>
          <w:strike w:val="0"/>
          <w:noProof w:val="0"/>
          <w:color w:val="000000"/>
          <w:position w:val="0"/>
          <w:sz w:val="20"/>
          <w:u w:val="none"/>
          <w:vertAlign w:val="baseline"/>
        </w:rPr>
        <w:t xml:space="preserve"> is for projects designed to replicate and expand high-quality charter schools in federally designated Promise Zones, and is from the notice of final priority for promise zones,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0"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(Final Promise Zones Priority). Promise zones are part of an initiative by the President to designate, over a period of four years, 20 high-poverty communities for the Federal government to partner with, and invest in, to create jobs, increase economic activity, improve educational opportunities, reduce violent crime, and leverage private investment. The Department is cooperating with the Department of Housing and Urban Development (HUD), the Department of Agriculture (USDA), and nine other Federal agencies to support comprehensive revitalization efforts in these high-poverty urban, rural, and tribal communities across the country. The thirteen Promise Zones that have been designated thus far are located in Camden City NJ, the Chocktaw Nation of Oklahoma, East Indianapolis IN, Los Angeles CA, the Lowlands of South Carolina, Minneapolis MN, North Hartford CT, Philadelphia PA, Pine Ridge SD, Sacramento CA, San Antonio TX, Southeastern Kentucky, and St. Louis MO. Each of the lead entities for these Promise Zones has put forward a plan for how it will partner with local business and community leaders to make investments that reward hard work and expand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has added an invitational priority that encourages applicants to conduct rigorous evaluations of their proposed projects. If well-implemented, the evaluations will produce evidence about the project's effectiveness that meets What Works Clearinghouse Evidence Standards. The Department is particularly interested in rigorous evaluations of applicants' schools or specific practices within those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January 2014, the Department updated Section E of the CSP Nonregulatory Guidance to clarify the circumstances in which charter schools receiving CSP funds may use weighted lotteries, including to give educationally disadvantaged students slightly better chances for admission. Applicants proposing to use weighted lotteries should review the information in the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Application Requirement (j) in section V of this notice and the updated CSP Nonregulatory Guidance. For information on the CSP lottery requirement, including permissible exemptions from the lottery and the circumstances under which charter schools receiving CSP funds may use weighted lotteries, see Section E of the CSP Nonregulatory Guidance at </w:t>
      </w:r>
      <w:r>
        <w:rPr>
          <w:rFonts w:ascii="arial" w:eastAsia="arial" w:hAnsi="arial" w:cs="arial"/>
          <w:b w:val="0"/>
          <w:i/>
          <w:strike w:val="0"/>
          <w:noProof w:val="0"/>
          <w:color w:val="000000"/>
          <w:position w:val="0"/>
          <w:sz w:val="20"/>
          <w:u w:val="none"/>
          <w:vertAlign w:val="baseline"/>
        </w:rPr>
        <w:t>www2.ed.gov/programs/charter/nonregulatory-guidance.html.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Consolidated and Further Continuing Appropriations Act, 2015 (FY 2015 Appropriations Act), Division G, </w:t>
      </w:r>
      <w:hyperlink r:id="rId11"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xml:space="preserve">, retains the authority from the Consolidated Appropriations Act, 2014 (FY 2014 Appropriations Act), Division H, </w:t>
      </w:r>
      <w:r>
        <w:rPr>
          <w:rFonts w:ascii="arial" w:eastAsia="arial" w:hAnsi="arial" w:cs="arial"/>
          <w:b w:val="0"/>
          <w:i/>
          <w:strike w:val="0"/>
          <w:noProof w:val="0"/>
          <w:color w:val="000000"/>
          <w:position w:val="0"/>
          <w:sz w:val="20"/>
          <w:u w:val="none"/>
          <w:vertAlign w:val="baseline"/>
        </w:rPr>
        <w:t>Public Law 113-76</w:t>
      </w:r>
      <w:r>
        <w:rPr>
          <w:rFonts w:ascii="arial" w:eastAsia="arial" w:hAnsi="arial" w:cs="arial"/>
          <w:b w:val="0"/>
          <w:i w:val="0"/>
          <w:strike w:val="0"/>
          <w:noProof w:val="0"/>
          <w:color w:val="000000"/>
          <w:position w:val="0"/>
          <w:sz w:val="20"/>
          <w:u w:val="none"/>
          <w:vertAlign w:val="baseline"/>
        </w:rPr>
        <w:t xml:space="preserve">, for CSP grant recipients to use funds to support preschool education in charter schools. For information on the use of CSP funds to support preschool education in charter schools, see the "Guidance on the use of Funds to Support Preschool Education" at </w:t>
      </w:r>
      <w:r>
        <w:rPr>
          <w:rFonts w:ascii="arial" w:eastAsia="arial" w:hAnsi="arial" w:cs="arial"/>
          <w:b w:val="0"/>
          <w:i/>
          <w:strike w:val="0"/>
          <w:noProof w:val="0"/>
          <w:color w:val="000000"/>
          <w:position w:val="0"/>
          <w:sz w:val="20"/>
          <w:u w:val="none"/>
          <w:vertAlign w:val="baseline"/>
        </w:rPr>
        <w:t>www2.ed.gov/programs/charter/csppreschoolfaqs.doc.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charter schools receiving CSP funds, as outlined in section 5210(1)(G) of the Elementary and Secondary Education Act of 1965, as amended (ESEA), must comply with various non-discrimination laws, including the Age Discrimination Act of 1975, title VI of the Civil Rights Act of 1964, title IX of the Education Amendments of 1972, section 504 of the Rehabilitation Act of 1973, part B of the Individuals with Disabilities Education Act (specifies rights afforded to students with disabilities and their parents), and applicable State laws.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two absolute priorities,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[*33501] </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priorities are from the Final Priorities for this program.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Final Priorities for this program; the Final Promise Zones Priority; the Final Supplemental Priorities; and </w:t>
      </w:r>
      <w:hyperlink r:id="rId12" w:history="1">
        <w:r>
          <w:rPr>
            <w:rFonts w:ascii="arial" w:eastAsia="arial" w:hAnsi="arial" w:cs="arial"/>
            <w:b w:val="0"/>
            <w:i/>
            <w:strike w:val="0"/>
            <w:noProof w:val="0"/>
            <w:color w:val="0077CC"/>
            <w:position w:val="0"/>
            <w:sz w:val="20"/>
            <w:u w:val="single"/>
            <w:vertAlign w:val="baseline"/>
          </w:rPr>
          <w:t>34 CFR 75.225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3"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 following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1--Experience Operating or Managing 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will provide for the replication or expansion of high-quality charter schools by applicants that currently operate or manage more than one high-quality charter school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2--Low-Income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at least 60 percent of all students in the charter schools it currently operates or manages are individuals from low-income families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val="0"/>
          <w:i w:val="0"/>
          <w:strike w:val="0"/>
          <w:noProof w:val="0"/>
          <w:color w:val="000000"/>
          <w:position w:val="0"/>
          <w:sz w:val="20"/>
          <w:u w:val="none"/>
          <w:vertAlign w:val="baseline"/>
        </w:rPr>
        <w:t xml:space="preserve"> The Secretary encourages applicants to describe the extent to which the charter schools they currently operate or manage serve individuals from low-income families at rates that are comparable to the rates at which these individuals are served by public schools in the surrounding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2:</w:t>
      </w:r>
      <w:r>
        <w:rPr>
          <w:rFonts w:ascii="arial" w:eastAsia="arial" w:hAnsi="arial" w:cs="arial"/>
          <w:b w:val="0"/>
          <w:i w:val="0"/>
          <w:strike w:val="0"/>
          <w:noProof w:val="0"/>
          <w:color w:val="000000"/>
          <w:position w:val="0"/>
          <w:sz w:val="20"/>
          <w:u w:val="none"/>
          <w:vertAlign w:val="baseline"/>
        </w:rPr>
        <w:t xml:space="preserve"> For charter schools that serve students younger than five years old or older than 17 years old in accordance with their State's definition of "elementary education" or "secondary education," at least 60 percent of all students in the schools who are between the ages of five and 17 must be individuals from low-income families to meet this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3"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will award an additional five points to an application that addresses element (a)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an additional four points to an application that addresses element (b) of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or an additional one point to an application that addresses element (c)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An applicant may receive points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for only one of the three elements. We will award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and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w:t>
      </w:r>
      <w:r>
        <w:rPr>
          <w:rFonts w:ascii="arial" w:eastAsia="arial" w:hAnsi="arial" w:cs="arial"/>
          <w:b w:val="0"/>
          <w:i w:val="0"/>
          <w:strike w:val="0"/>
          <w:noProof w:val="0"/>
          <w:color w:val="000000"/>
          <w:position w:val="0"/>
          <w:sz w:val="20"/>
          <w:u w:val="none"/>
          <w:vertAlign w:val="baseline"/>
        </w:rPr>
        <w:t xml:space="preserve"> The maximum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an application can receive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receive points under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applicant must identify the priority or priorities that it is addressing and provide documentation that supports the identified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1--Serving High-Need Students.</w:t>
      </w:r>
      <w:r>
        <w:rPr>
          <w:rFonts w:ascii="arial" w:eastAsia="arial" w:hAnsi="arial" w:cs="arial"/>
          <w:b w:val="0"/>
          <w:i w:val="0"/>
          <w:strike w:val="0"/>
          <w:noProof w:val="0"/>
          <w:color w:val="000000"/>
          <w:position w:val="0"/>
          <w:sz w:val="20"/>
          <w:u w:val="none"/>
          <w:vertAlign w:val="baseline"/>
        </w:rPr>
        <w:t xml:space="preserve"> (0, 1, 4,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projects that will serve high-need students through one of the methods described below. An application may receive priority points for only one element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Therefore, an applicant should address only one element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and must specify which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 or (c)) it is addressing. If an applicant addresses more than one element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and does not specify whether it is addressing element (a), (b), or (c), the application will be awarded priority points only for the element addressed in the application that has the highest maximum point value, regardless of the number of priority points the application is awarded for that particular element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will serve high-need students through element (a), (b) or (c) as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Supporting Students Who are Members of Federally Recognized Indian Tribes.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application must demonstrate that the proposed project is designed to improve academic outcomes or learning environments, or both, for students who are members of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demonstrate how the proposed project is designed to serve students who are members of federally recognized Indian tribes through a variety of means, such as creating or expanding charter schools in geographic areas with large numbers of students who are members of federally recognized Indian tribes, conducting targeted outreach and recruitment, or including in the charters or performance contracts for the charter schools funded under the project specific performance goals for students who are members of federally recognized Indian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School Improvement.</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(0 or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demonstrate that its proposed replication or expansion of one or more high-quality charter schools (as defined in this notice) will occur in partnership with, and will be designed to assist, one or more LEAs in implementing academic or structural interventions to serve students attending schools that have been identified for improvement, corrective action, closure, or restructuring under section 1116 of the Elementary and Secondary Education Act of 1965, as amended (ESEA), and as described in the notice of final requirements for School Improvement Grants,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28, 2010 </w:t>
      </w:r>
      <w:r>
        <w:rPr>
          <w:rFonts w:ascii="arial" w:eastAsia="arial" w:hAnsi="arial" w:cs="arial"/>
          <w:b w:val="0"/>
          <w:i/>
          <w:strike w:val="0"/>
          <w:noProof w:val="0"/>
          <w:color w:val="000000"/>
          <w:position w:val="0"/>
          <w:sz w:val="20"/>
          <w:u w:val="none"/>
          <w:vertAlign w:val="baseline"/>
        </w:rPr>
        <w:t>(75 FR 66363).</w:t>
      </w:r>
      <w:r>
        <w:rPr>
          <w:rFonts w:ascii="arial" w:eastAsia="arial" w:hAnsi="arial" w:cs="arial"/>
          <w:b w:val="0"/>
          <w:i w:val="0"/>
          <w:strike w:val="0"/>
          <w:noProof w:val="0"/>
          <w:color w:val="000000"/>
          <w:position w:val="0"/>
          <w:sz w:val="20"/>
          <w:u w:val="none"/>
          <w:vertAlign w:val="baseline"/>
        </w:rPr>
        <w:t xml:space="preserve">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March 2015, the Department issued nonregulatory guidance on School Improvement Grants (SIGs), entitled "Guidance on School Improvement Grants under Section 1003(g) of the Elementary and Secondary Education Act of 1965, at </w:t>
      </w:r>
      <w:r>
        <w:rPr>
          <w:rFonts w:ascii="arial" w:eastAsia="arial" w:hAnsi="arial" w:cs="arial"/>
          <w:b w:val="0"/>
          <w:i/>
          <w:strike w:val="0"/>
          <w:noProof w:val="0"/>
          <w:color w:val="000000"/>
          <w:position w:val="0"/>
          <w:sz w:val="20"/>
          <w:u w:val="none"/>
          <w:vertAlign w:val="baseline"/>
        </w:rPr>
        <w:t>www2.ed.gov/programs/sif/sigguidance032015.doc.</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in States operating under ESEA Flexibility that have opted to waive the requirement in ESEA section 1116(b) for LEAs to identify for improvement, corrective action, or restructuring, as appropriate, their Title I schools that fail to make adequate yearly progress (AYP) for two or more consecutive years may partner with LEAs to serve students attending priority or focus schools (see the Department's June 7, 2012 guidance entitled, "ESEA Flexibility," at </w:t>
      </w:r>
      <w:hyperlink r:id="rId14" w:history="1">
        <w:r>
          <w:rPr>
            <w:rFonts w:ascii="arial" w:eastAsia="arial" w:hAnsi="arial" w:cs="arial"/>
            <w:b w:val="0"/>
            <w:i/>
            <w:strike w:val="0"/>
            <w:noProof w:val="0"/>
            <w:color w:val="0077CC"/>
            <w:position w:val="0"/>
            <w:sz w:val="20"/>
            <w:u w:val="single"/>
            <w:vertAlign w:val="baseline"/>
          </w:rPr>
          <w:t>www.ed.gov/esea/flexibility</w:t>
        </w:r>
      </w:hyperlink>
      <w:r>
        <w:rPr>
          <w:rFonts w:ascii="arial" w:eastAsia="arial" w:hAnsi="arial" w:cs="arial"/>
          <w:b w:val="0"/>
          <w:i w:val="0"/>
          <w:strike w:val="0"/>
          <w:noProof w:val="0"/>
          <w:color w:val="000000"/>
          <w:position w:val="0"/>
          <w:sz w:val="20"/>
          <w:u w:val="none"/>
          <w:vertAlign w:val="baseline"/>
        </w:rPr>
        <w:t>). The Secretary encourages such applicants to describe how their proposed projects would complement efforts to serve students attending priority or focus schools described in the State's approved request for waivers under ESEA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Promise Zones.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(0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are designed to serve and coordinate with a federally designated Promise Zone.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additional information on Promise Zones, see </w:t>
      </w:r>
      <w:hyperlink r:id="rId15" w:history="1">
        <w:r>
          <w:rPr>
            <w:rFonts w:ascii="arial" w:eastAsia="arial" w:hAnsi="arial" w:cs="arial"/>
            <w:b w:val="0"/>
            <w:i/>
            <w:strike w:val="0"/>
            <w:noProof w:val="0"/>
            <w:color w:val="0077CC"/>
            <w:position w:val="0"/>
            <w:sz w:val="20"/>
            <w:u w:val="single"/>
            <w:vertAlign w:val="baseline"/>
          </w:rPr>
          <w:t>www.whitehouse.gov/the-press-office/2014/01/08/fact-sheet-president-obama-s-promise-zones-initiative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view the list of designated Promise Zones and lead organizations please go to </w:t>
      </w:r>
      <w:hyperlink r:id="rId16" w:history="1">
        <w:r>
          <w:rPr>
            <w:rFonts w:ascii="arial" w:eastAsia="arial" w:hAnsi="arial" w:cs="arial"/>
            <w:b w:val="0"/>
            <w:i/>
            <w:strike w:val="0"/>
            <w:noProof w:val="0"/>
            <w:color w:val="0077CC"/>
            <w:position w:val="0"/>
            <w:sz w:val="20"/>
            <w:u w:val="single"/>
            <w:vertAlign w:val="baseline"/>
          </w:rPr>
          <w:t>www.hud.gov/promisezones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link to HUD Form 50153 (Certification of Consistency with Promise Zone Goals and Implementation), which has been cleared by the Office of Management and Budget under the Paperwork Reduction Act, is </w:t>
      </w:r>
      <w:hyperlink r:id="rId17" w:history="1">
        <w:r>
          <w:rPr>
            <w:rFonts w:ascii="arial" w:eastAsia="arial" w:hAnsi="arial" w:cs="arial"/>
            <w:b w:val="0"/>
            <w:i/>
            <w:strike w:val="0"/>
            <w:noProof w:val="0"/>
            <w:color w:val="0077CC"/>
            <w:position w:val="0"/>
            <w:sz w:val="20"/>
            <w:u w:val="single"/>
            <w:vertAlign w:val="baseline"/>
          </w:rPr>
          <w:t>http://portal.hud.gov/hudportal/documents/huddoc?id=HUD_Form_50153.pdf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2--Promoting Diversity.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applicants that demonstrate a record of (in the schools they currently operate or manage), as </w:t>
      </w:r>
      <w:r>
        <w:rPr>
          <w:rFonts w:ascii="arial" w:eastAsia="arial" w:hAnsi="arial" w:cs="arial"/>
          <w:b/>
          <w:i w:val="0"/>
          <w:strike w:val="0"/>
          <w:noProof w:val="0"/>
          <w:color w:val="000000"/>
          <w:position w:val="0"/>
          <w:sz w:val="20"/>
          <w:u w:val="none"/>
          <w:vertAlign w:val="baseline"/>
        </w:rPr>
        <w:t> [*33502] </w:t>
      </w:r>
      <w:r>
        <w:rPr>
          <w:rFonts w:ascii="arial" w:eastAsia="arial" w:hAnsi="arial" w:cs="arial"/>
          <w:b w:val="0"/>
          <w:i w:val="0"/>
          <w:strike w:val="0"/>
          <w:noProof w:val="0"/>
          <w:color w:val="000000"/>
          <w:position w:val="0"/>
          <w:sz w:val="20"/>
          <w:u w:val="none"/>
          <w:vertAlign w:val="baseline"/>
        </w:rPr>
        <w:t xml:space="preserve"> well as an intent to continue (in schools that they will be creating or substantially expanding under this grant), taking active measures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Promote student diversity, including racial and ethnic diversity, or avoid racial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Serve students with disabilities at a rate that is at least comparable to the rate at which these students are served in public schools in the surrounding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Serve English learners at a rate that is at least comparable to the rate at which these students are served in public schools in the surrounding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this priority, applicants must provide enrollment data as well as descriptions of existing policies and activities undertaken or planned to be undertaken.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val="0"/>
          <w:i w:val="0"/>
          <w:strike w:val="0"/>
          <w:noProof w:val="0"/>
          <w:color w:val="000000"/>
          <w:position w:val="0"/>
          <w:sz w:val="20"/>
          <w:u w:val="none"/>
          <w:vertAlign w:val="baseline"/>
        </w:rPr>
        <w:t xml:space="preserve"> An applicant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2--Promoting Diversity</w:t>
      </w:r>
      <w:r>
        <w:rPr>
          <w:rFonts w:ascii="arial" w:eastAsia="arial" w:hAnsi="arial" w:cs="arial"/>
          <w:b w:val="0"/>
          <w:i w:val="0"/>
          <w:strike w:val="0"/>
          <w:noProof w:val="0"/>
          <w:color w:val="000000"/>
          <w:position w:val="0"/>
          <w:sz w:val="20"/>
          <w:u w:val="none"/>
          <w:vertAlign w:val="baseline"/>
        </w:rPr>
        <w:t xml:space="preserve"> is invited to discuss how the proposed design of its project will encourage approaches by charter schools that help bring together students of different backgrounds, including students from different racial and ethnic backgrounds, to attain the benefits that flow from a diverse student body. The applicant should discuss in its application how it would ensure that those approaches are permissible under current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2:</w:t>
      </w:r>
      <w:r>
        <w:rPr>
          <w:rFonts w:ascii="arial" w:eastAsia="arial" w:hAnsi="arial" w:cs="arial"/>
          <w:b w:val="0"/>
          <w:i w:val="0"/>
          <w:strike w:val="0"/>
          <w:noProof w:val="0"/>
          <w:color w:val="000000"/>
          <w:position w:val="0"/>
          <w:sz w:val="20"/>
          <w:u w:val="none"/>
          <w:vertAlign w:val="baseline"/>
        </w:rPr>
        <w:t xml:space="preserve"> For information on permissible ways to meet this priority, please refer to the joint guidance issued by the Department's Office for Civil Rights and the U.S. Department of Justice entitled, "Guidance on the Voluntary Use of Race to Achieve Diversity and Avoid Racial Isolation in Elementary and Secondary Schools" (</w:t>
      </w:r>
      <w:r>
        <w:rPr>
          <w:rFonts w:ascii="arial" w:eastAsia="arial" w:hAnsi="arial" w:cs="arial"/>
          <w:b w:val="0"/>
          <w:i/>
          <w:strike w:val="0"/>
          <w:noProof w:val="0"/>
          <w:color w:val="000000"/>
          <w:position w:val="0"/>
          <w:sz w:val="20"/>
          <w:u w:val="none"/>
          <w:vertAlign w:val="baseline"/>
        </w:rPr>
        <w:t>www2.ed.gov/about/offices/list/ocr/docs/guidance-ese-201111.pdf</w:t>
      </w:r>
      <w:r>
        <w:rPr>
          <w:rFonts w:ascii="arial" w:eastAsia="arial" w:hAnsi="arial" w:cs="arial"/>
          <w:b w:val="0"/>
          <w:i w:val="0"/>
          <w:strike w:val="0"/>
          <w:noProof w:val="0"/>
          <w:color w:val="000000"/>
          <w:position w:val="0"/>
          <w:sz w:val="20"/>
          <w:u w:val="none"/>
          <w:vertAlign w:val="baseline"/>
        </w:rPr>
        <w:t>) and "Schools' Civil Rights Obligations to English Learner Students and Limited English Proficient Parents" (</w:t>
      </w:r>
      <w:r>
        <w:rPr>
          <w:rFonts w:ascii="arial" w:eastAsia="arial" w:hAnsi="arial" w:cs="arial"/>
          <w:b w:val="0"/>
          <w:i/>
          <w:strike w:val="0"/>
          <w:noProof w:val="0"/>
          <w:color w:val="000000"/>
          <w:position w:val="0"/>
          <w:sz w:val="20"/>
          <w:u w:val="none"/>
          <w:vertAlign w:val="baseline"/>
        </w:rPr>
        <w:t>www2.ed.gov/about/offices/list/ocr/ellresources.html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3--Novice Applicant.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34 CFR 75.225(c)(2)</w:t>
        </w:r>
      </w:hyperlink>
      <w:r>
        <w:rPr>
          <w:rFonts w:ascii="arial" w:eastAsia="arial" w:hAnsi="arial" w:cs="arial"/>
          <w:b w:val="0"/>
          <w:i w:val="0"/>
          <w:strike w:val="0"/>
          <w:noProof w:val="0"/>
          <w:color w:val="000000"/>
          <w:position w:val="0"/>
          <w:sz w:val="20"/>
          <w:u w:val="none"/>
          <w:vertAlign w:val="baseline"/>
        </w:rPr>
        <w:t>)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applicants that qualify as novice applicants.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"novice applicant" means an applicant for a grant from the Department that (i) has never received a Replication and Expansion grant; (ii) has never been a member of a group application, submitted in accordance with </w:t>
      </w:r>
      <w:hyperlink r:id="rId18"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that received a Replication and Expansion grant; and (iii) has not had an active discretionary grant from the Federal government in the five years before the deadline date for applications for new awards under this Replication and Expansion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clause (iii) in the preceding paragraph, a grant is active until the end of the grant's project or funding period, including any extensions of those periods that extend the grantee's authority to obligate funds (</w:t>
      </w:r>
      <w:hyperlink r:id="rId12" w:history="1">
        <w:r>
          <w:rPr>
            <w:rFonts w:ascii="arial" w:eastAsia="arial" w:hAnsi="arial" w:cs="arial"/>
            <w:b w:val="0"/>
            <w:i/>
            <w:strike w:val="0"/>
            <w:noProof w:val="0"/>
            <w:color w:val="0077CC"/>
            <w:position w:val="0"/>
            <w:sz w:val="20"/>
            <w:u w:val="single"/>
            <w:vertAlign w:val="baseline"/>
          </w:rPr>
          <w:t>34 CFR 75.225(b)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3"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we do not give an application that meets this invitational priority any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Priority--Rigorous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is particularly interested in funding applications that demonstrate that the applicant is currently conducting, or will conduct, a rigorous independent evaluation of the applicant's charter schools, or specific practices within those charter schools, such as professional development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coaching or leadership training) through a quasi-experimental design study or randomized controlled trial that will, if well implemented, meet What Works Clearinghouse Evidence Standards.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val="0"/>
          <w:i w:val="0"/>
          <w:strike w:val="0"/>
          <w:noProof w:val="0"/>
          <w:color w:val="000000"/>
          <w:position w:val="0"/>
          <w:sz w:val="20"/>
          <w:u w:val="none"/>
          <w:vertAlign w:val="baseline"/>
        </w:rPr>
        <w:t xml:space="preserve"> In accordance with </w:t>
      </w:r>
      <w:hyperlink r:id="rId20"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Replication and Expansion grant funds may be used to cover post-award costs associated with an evaluation under this invitational priority or an evaluation under selection criterion (e) in section V.2 of this notice, provided that such costs are reasonable and necessary to meet the objectives of the approved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2:</w:t>
      </w:r>
      <w:r>
        <w:rPr>
          <w:rFonts w:ascii="arial" w:eastAsia="arial" w:hAnsi="arial" w:cs="arial"/>
          <w:b w:val="0"/>
          <w:i w:val="0"/>
          <w:strike w:val="0"/>
          <w:noProof w:val="0"/>
          <w:color w:val="000000"/>
          <w:position w:val="0"/>
          <w:sz w:val="20"/>
          <w:u w:val="none"/>
          <w:vertAlign w:val="baseline"/>
        </w:rPr>
        <w:t xml:space="preserve"> We encourage applicants to review the following technical assistance resources on evaluation: (1) WWC Procedures and Standards Handbook: </w:t>
      </w:r>
      <w:hyperlink r:id="rId21"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22"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invite applicants to view two optional Webinar recordings that were hosted by the Institute of Education Sciences. The first Webinar discussed strategies for designing and executing well-designed quasi-experimental design studies. Applicants interested in viewing this Webinar may find more information at the following Web site: </w:t>
      </w:r>
      <w:hyperlink r:id="rId23" w:history="1">
        <w:r>
          <w:rPr>
            <w:rFonts w:ascii="arial" w:eastAsia="arial" w:hAnsi="arial" w:cs="arial"/>
            <w:b w:val="0"/>
            <w:i/>
            <w:strike w:val="0"/>
            <w:noProof w:val="0"/>
            <w:color w:val="0077CC"/>
            <w:position w:val="0"/>
            <w:sz w:val="20"/>
            <w:u w:val="single"/>
            <w:vertAlign w:val="baseline"/>
          </w:rPr>
          <w:t>http://ies.ed.gov/ncee/wwc/news.aspx?sid=23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encourage applicants to review a second Webinar recorded by the IES that focused on more rigorous evaluation designs.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Webinar discusses strategies for designing and executing studies that meet WWC standards without reservations. Applicants interested in reviewing this Webinar may find more information at the following Web site: </w:t>
      </w:r>
      <w:hyperlink r:id="rId24" w:history="1">
        <w:r>
          <w:rPr>
            <w:rFonts w:ascii="arial" w:eastAsia="arial" w:hAnsi="arial" w:cs="arial"/>
            <w:b w:val="0"/>
            <w:i/>
            <w:strike w:val="0"/>
            <w:noProof w:val="0"/>
            <w:color w:val="0077CC"/>
            <w:position w:val="0"/>
            <w:sz w:val="20"/>
            <w:u w:val="single"/>
            <w:vertAlign w:val="baseline"/>
          </w:rPr>
          <w:t>http://ies.ed.gov/ncee/wwc/News.aspx?sid=18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Final Priorities for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management organization (CMO)</w:t>
      </w:r>
      <w:r>
        <w:rPr>
          <w:rFonts w:ascii="arial" w:eastAsia="arial" w:hAnsi="arial" w:cs="arial"/>
          <w:b w:val="0"/>
          <w:i w:val="0"/>
          <w:strike w:val="0"/>
          <w:noProof w:val="0"/>
          <w:color w:val="000000"/>
          <w:position w:val="0"/>
          <w:sz w:val="20"/>
          <w:u w:val="none"/>
          <w:vertAlign w:val="baseline"/>
        </w:rPr>
        <w:t xml:space="preserve"> is a nonprofit organization that operates or manages multiple charter schools by centralizing or sharing certain functions and resources among schools.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includes, but is not necessarily limited to, individuals from low-income families (as defined in this notice), English learners, migratory children, children with disabilities, and neglected or delinquent children.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is a school that shows evidence of strong academic results for the past three years (or over the life of the school, if the school has been open for fewer than three years), based on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Increasing student academic achievement and attainment for all students, including, as applicable, educationally disadvantaged students served by the charter schools operated or managed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 (i) Demonstrated success in closing historic achievement gaps for the subgroups of students described in section 1111(b)(2)(C)(v)(II) of the ESEA at the charter schools operated or managed by the applicant,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 significant achievement gaps between any of the subgroups of students described in section 1111(b)(2)(C)(v)(II) of the ESEA at the charter schools operated or managed by the applicant and significant gains in student academic achievement with all populations of students served by the charter schools operated or managed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Achieved results (including performance on statewide tests, annual student attendance and retention rates, high school graduation rates, college attendance rates, and college persistence rates where applicable and available) for low-income and other educationally disadvantaged students served by the charter schools operated or managed by </w:t>
      </w:r>
      <w:r>
        <w:rPr>
          <w:rFonts w:ascii="arial" w:eastAsia="arial" w:hAnsi="arial" w:cs="arial"/>
          <w:b/>
          <w:i w:val="0"/>
          <w:strike w:val="0"/>
          <w:noProof w:val="0"/>
          <w:color w:val="000000"/>
          <w:position w:val="0"/>
          <w:sz w:val="20"/>
          <w:u w:val="none"/>
          <w:vertAlign w:val="baseline"/>
        </w:rPr>
        <w:t> [*33503] </w:t>
      </w:r>
      <w:r>
        <w:rPr>
          <w:rFonts w:ascii="arial" w:eastAsia="arial" w:hAnsi="arial" w:cs="arial"/>
          <w:b w:val="0"/>
          <w:i w:val="0"/>
          <w:strike w:val="0"/>
          <w:noProof w:val="0"/>
          <w:color w:val="000000"/>
          <w:position w:val="0"/>
          <w:sz w:val="20"/>
          <w:u w:val="none"/>
          <w:vertAlign w:val="baseline"/>
        </w:rPr>
        <w:t xml:space="preserve"> the applicant that are above the average academic achievement results for such students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 significant compliance issues (as defined in this notice), particularly in the areas of student safety and financial management.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from low-income family</w:t>
      </w:r>
      <w:r>
        <w:rPr>
          <w:rFonts w:ascii="arial" w:eastAsia="arial" w:hAnsi="arial" w:cs="arial"/>
          <w:b w:val="0"/>
          <w:i w:val="0"/>
          <w:strike w:val="0"/>
          <w:noProof w:val="0"/>
          <w:color w:val="000000"/>
          <w:position w:val="0"/>
          <w:sz w:val="20"/>
          <w:u w:val="none"/>
          <w:vertAlign w:val="baseline"/>
        </w:rPr>
        <w:t xml:space="preserve"> means an individual who is determined by a State educational agency (SEA) or LEA to be a child, age 5 through 17, from a low-income family on the basis of (a) data used by the Secretary to determine allocations under section 1124 of the ESEA, (b) data on children eligible for free or reduced-price lunches under the Richard B. Russell National School Lunch Act, (c) data on children in families receiving assistance under part A of title IV of the Social Security Act, (d) data on children eligible to receive medical assistance under the Medicaid program under Title XIX of the Social Security Act, or (e) an alternate method that combines or extrapolates from the data in items (a) through (d) of this definition (see </w:t>
      </w:r>
      <w:hyperlink r:id="rId26" w:history="1">
        <w:r>
          <w:rPr>
            <w:rFonts w:ascii="arial" w:eastAsia="arial" w:hAnsi="arial" w:cs="arial"/>
            <w:b w:val="0"/>
            <w:i/>
            <w:strike w:val="0"/>
            <w:noProof w:val="0"/>
            <w:color w:val="0077CC"/>
            <w:position w:val="0"/>
            <w:sz w:val="20"/>
            <w:u w:val="single"/>
            <w:vertAlign w:val="baseline"/>
          </w:rPr>
          <w:t>20 U.S.C. 6537(3)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(as defined in this notice) with reservations (but not What Works Clearinghouse Evidence Standards without reservations).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(as defined in this notice) without reservations.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means to open one or more new charter schools that are based on the charter school model or models for which the applicant has presented evidence of success.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compliance issue</w:t>
      </w:r>
      <w:r>
        <w:rPr>
          <w:rFonts w:ascii="arial" w:eastAsia="arial" w:hAnsi="arial" w:cs="arial"/>
          <w:b w:val="0"/>
          <w:i w:val="0"/>
          <w:strike w:val="0"/>
          <w:noProof w:val="0"/>
          <w:color w:val="000000"/>
          <w:position w:val="0"/>
          <w:sz w:val="20"/>
          <w:u w:val="none"/>
          <w:vertAlign w:val="baseline"/>
        </w:rPr>
        <w:t xml:space="preserve"> means a violation that did, will, or could lead to the revocation of a school's charter.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Substantially expand</w:t>
      </w:r>
      <w:r>
        <w:rPr>
          <w:rFonts w:ascii="arial" w:eastAsia="arial" w:hAnsi="arial" w:cs="arial"/>
          <w:b w:val="0"/>
          <w:i w:val="0"/>
          <w:strike w:val="0"/>
          <w:noProof w:val="0"/>
          <w:color w:val="000000"/>
          <w:position w:val="0"/>
          <w:sz w:val="20"/>
          <w:u w:val="none"/>
          <w:vertAlign w:val="baseline"/>
        </w:rPr>
        <w:t xml:space="preserve"> means to increase the student count of an existing charter school by more than 50 percent or to add at least two grades to an existing charter school over the course of the grant. </w:t>
      </w:r>
      <w:hyperlink r:id="rId8" w:history="1">
        <w:r>
          <w:rPr>
            <w:rFonts w:ascii="arial" w:eastAsia="arial" w:hAnsi="arial" w:cs="arial"/>
            <w:b w:val="0"/>
            <w:i/>
            <w:strike w:val="0"/>
            <w:noProof w:val="0"/>
            <w:color w:val="0077CC"/>
            <w:position w:val="0"/>
            <w:sz w:val="20"/>
            <w:u w:val="single"/>
            <w:vertAlign w:val="baseline"/>
          </w:rPr>
          <w:t>(76 FR 40898)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r>
        <w:rPr>
          <w:rFonts w:ascii="arial" w:eastAsia="arial" w:hAnsi="arial" w:cs="arial"/>
          <w:b w:val="0"/>
          <w:i/>
          <w:strike w:val="0"/>
          <w:noProof w:val="0"/>
          <w:color w:val="000000"/>
          <w:position w:val="0"/>
          <w:sz w:val="20"/>
          <w:u w:val="none"/>
          <w:vertAlign w:val="baseline"/>
        </w:rPr>
        <w:t>//ies.ed.gov/ncee/wwc/DocumentSum.aspx?sid=19.</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Consolidated and Further Continuing Appropriations Act, 2015 (FY 2015 Appropriations Act), Division G, </w:t>
      </w:r>
      <w:hyperlink r:id="rId11"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and the Elementary and Secondary Education Act of 1965, as amended (ESEA) (</w:t>
      </w:r>
      <w:hyperlink r:id="rId27"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Final Priorities for this program. (e) The Final Promise Zones Priority.(f) The Final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99 apply only to an educational agency or institution.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and future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to $ 3,000,000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19-25.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average size, and number of awards are based on a single 12-month budget period. However, the Department may choose to fund more than 12 months of a project using FY 2015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Non-profit charter management organizations (as defined in this notice) and other entities that are not for-profit entities. Eligible applicants may also apply as a group or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grant funds that may be awarded per charter school replicated, per charter school substantially expanded, or per new school seat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maximum limit of grant funds that may be awarded per new school seat is $ 3,000, including a maximum limit per new school created of $ 800,000. The maximum limit per new school seat in a charter school that is substantially expanding its enrollment is $ 1,500, including a maximum limit per substantially expanded school of $ 800,000.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ensure that all costs included in the proposed budget are reasonable and necessary in light of the goals and objectives of the proposed project. Any costs determined by the Secretary to be unreasonable or unnecessary will be removed from the final approved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CSP Grants:</w:t>
      </w:r>
      <w:r>
        <w:rPr>
          <w:rFonts w:ascii="arial" w:eastAsia="arial" w:hAnsi="arial" w:cs="arial"/>
          <w:b w:val="0"/>
          <w:i w:val="0"/>
          <w:strike w:val="0"/>
          <w:noProof w:val="0"/>
          <w:color w:val="000000"/>
          <w:position w:val="0"/>
          <w:sz w:val="20"/>
          <w:u w:val="none"/>
          <w:vertAlign w:val="baseline"/>
        </w:rPr>
        <w:t xml:space="preserve"> A charter school that receives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ineligible to receive funds for the same purpose under section 5202(c)(2) of the ESEA, including for planning and program design or the initial implementation of a charter school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CFDA 84.282A or 84.282B).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charter school that has received CSP funds for replication previously, or that has received funds for planning or initial implementation of a charter school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CFDA 84.282A or 84.282B), may not use funds under this grant for the same purpose. However, such charter schools may be eligible to receive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substantially expand the charter school beyond the existing grade levels or student count. </w:t>
      </w:r>
      <w:r>
        <w:rPr>
          <w:rFonts w:ascii="arial" w:eastAsia="arial" w:hAnsi="arial" w:cs="arial"/>
          <w:b/>
          <w:i w:val="0"/>
          <w:strike w:val="0"/>
          <w:noProof w:val="0"/>
          <w:color w:val="000000"/>
          <w:position w:val="0"/>
          <w:sz w:val="20"/>
          <w:u w:val="none"/>
          <w:vertAlign w:val="baseline"/>
        </w:rPr>
        <w:t> [*33504]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Brian Martin, U.S. Department of Education, 400 Maryland Avenue SW., Room 4W224, Washington, DC 20202-5970. Telephone: (202) 205-9085 or by email: </w:t>
      </w:r>
      <w:hyperlink r:id="rId29" w:history="1">
        <w:r>
          <w:rPr>
            <w:rFonts w:ascii="arial" w:eastAsia="arial" w:hAnsi="arial" w:cs="arial"/>
            <w:b w:val="0"/>
            <w:i/>
            <w:strike w:val="0"/>
            <w:noProof w:val="0"/>
            <w:color w:val="0077CC"/>
            <w:position w:val="0"/>
            <w:sz w:val="20"/>
            <w:u w:val="single"/>
            <w:vertAlign w:val="baseline"/>
          </w:rPr>
          <w:t>brian.martin@ed.gov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We recommend that you limit the application narrative [Part III]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 section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Replication and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30"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30"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June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Pre-Application Meeting: The Department will hold a pre-application meeting via Webinar for prospective applicants on June 16, 2015, from 2:00 p.m. to 3:30 p.m., Washington, DC, time. Individuals interested in attending this meeting are encouraged to pre-register by emailing their name, organization, and contact information with the subject heading "PRE-APPLICATION MEETING" to </w:t>
      </w:r>
      <w:hyperlink r:id="rId31"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attending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Brian Martin, U.S. Department of Education, 400 Maryland Avenue SW., Room 4W224, Washington, DC 20202-5970. Telephone: (202) 205-9085 or by email: </w:t>
      </w:r>
      <w:hyperlink r:id="rId29" w:history="1">
        <w:r>
          <w:rPr>
            <w:rFonts w:ascii="arial" w:eastAsia="arial" w:hAnsi="arial" w:cs="arial"/>
            <w:b w:val="0"/>
            <w:i/>
            <w:strike w:val="0"/>
            <w:noProof w:val="0"/>
            <w:color w:val="0077CC"/>
            <w:position w:val="0"/>
            <w:sz w:val="20"/>
            <w:u w:val="single"/>
            <w:vertAlign w:val="baseline"/>
          </w:rPr>
          <w:t>brian.martin@ed.gov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July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September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Grantees under this program must use the grant funds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substantially expand</w:t>
      </w:r>
      <w:r>
        <w:rPr>
          <w:rFonts w:ascii="arial" w:eastAsia="arial" w:hAnsi="arial" w:cs="arial"/>
          <w:b w:val="0"/>
          <w:i w:val="0"/>
          <w:strike w:val="0"/>
          <w:noProof w:val="0"/>
          <w:color w:val="000000"/>
          <w:position w:val="0"/>
          <w:sz w:val="20"/>
          <w:u w:val="none"/>
          <w:vertAlign w:val="baseline"/>
        </w:rPr>
        <w:t xml:space="preserve"> the charter school model or models for which the applicant has presented evidence of success. Grant funds must be used to carry out allowable activities, as described in section 5204(f)(3) of the ESEA (</w:t>
      </w:r>
      <w:hyperlink r:id="rId32" w:history="1">
        <w:r>
          <w:rPr>
            <w:rFonts w:ascii="arial" w:eastAsia="arial" w:hAnsi="arial" w:cs="arial"/>
            <w:b w:val="0"/>
            <w:i/>
            <w:strike w:val="0"/>
            <w:noProof w:val="0"/>
            <w:color w:val="0077CC"/>
            <w:position w:val="0"/>
            <w:sz w:val="20"/>
            <w:u w:val="single"/>
            <w:vertAlign w:val="baseline"/>
          </w:rPr>
          <w:t>20 U.S.C. 7221c(f)(3)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5204(f)(3) of the ESEA, grantees under this program must use the grant funds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Post-award planning and design of the educational program, which may include: (i) Refinement of the desired educational results and of the methods for measuring progress toward achieving those results; and (ii) professional development of teachers and other staff who will work in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Initial implementation of the charter school, which may include: (i) Informing the community about the school; (ii) acquiring necessary equipment and educational materials and supplies; (iii) acquiring or developing curriculum materials; and (iv) other initial operational costs that cannot be met from State or local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val="0"/>
          <w:i w:val="0"/>
          <w:strike w:val="0"/>
          <w:noProof w:val="0"/>
          <w:color w:val="000000"/>
          <w:position w:val="0"/>
          <w:sz w:val="20"/>
          <w:u w:val="none"/>
          <w:vertAlign w:val="baseline"/>
        </w:rPr>
        <w:t xml:space="preserve"> The FY 2015 Appropriations Act authorizes the use of CSP funds "for grants that support preschool education in charter schools." Therefore, an application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propose to use CSP funds to support preschool education in a charter school. For additional information and guidance regarding the use of CSP funds to support preschool education in charter schools, see "Guidance on the use of Funds to support Preschool Education," released in November 2014 (</w:t>
      </w:r>
      <w:r>
        <w:rPr>
          <w:rFonts w:ascii="arial" w:eastAsia="arial" w:hAnsi="arial" w:cs="arial"/>
          <w:b w:val="0"/>
          <w:i/>
          <w:strike w:val="0"/>
          <w:noProof w:val="0"/>
          <w:color w:val="000000"/>
          <w:position w:val="0"/>
          <w:sz w:val="20"/>
          <w:u w:val="none"/>
          <w:vertAlign w:val="baseline"/>
        </w:rPr>
        <w:t>www2.ed.gov/programs/charter/csppreschoolfaqs.doc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2:</w:t>
      </w:r>
      <w:r>
        <w:rPr>
          <w:rFonts w:ascii="arial" w:eastAsia="arial" w:hAnsi="arial" w:cs="arial"/>
          <w:b w:val="0"/>
          <w:i w:val="0"/>
          <w:strike w:val="0"/>
          <w:noProof w:val="0"/>
          <w:color w:val="000000"/>
          <w:position w:val="0"/>
          <w:sz w:val="20"/>
          <w:u w:val="none"/>
          <w:vertAlign w:val="baseline"/>
        </w:rPr>
        <w:t xml:space="preserve"> In accordance with the Final Priorities for this program, a grantee may use up to 20 percent of grant funds for initial operational costs associated with the expansion or improvement of the grantee's oversight or management of its charter schools, provided that: (i) the specific charter schools being created or substantially expanded under the grant are the intended beneficiaries of such expansion or </w:t>
      </w:r>
      <w:r>
        <w:rPr>
          <w:rFonts w:ascii="arial" w:eastAsia="arial" w:hAnsi="arial" w:cs="arial"/>
          <w:b/>
          <w:i w:val="0"/>
          <w:strike w:val="0"/>
          <w:noProof w:val="0"/>
          <w:color w:val="000000"/>
          <w:position w:val="0"/>
          <w:sz w:val="20"/>
          <w:u w:val="none"/>
          <w:vertAlign w:val="baseline"/>
        </w:rPr>
        <w:t> [*33505] </w:t>
      </w:r>
      <w:r>
        <w:rPr>
          <w:rFonts w:ascii="arial" w:eastAsia="arial" w:hAnsi="arial" w:cs="arial"/>
          <w:b w:val="0"/>
          <w:i w:val="0"/>
          <w:strike w:val="0"/>
          <w:noProof w:val="0"/>
          <w:color w:val="000000"/>
          <w:position w:val="0"/>
          <w:sz w:val="20"/>
          <w:u w:val="none"/>
          <w:vertAlign w:val="baseline"/>
        </w:rPr>
        <w:t xml:space="preserve"> improvement, and (ii) such expansion or improvement is intended to improve the grantee's ability to manage or oversee the charter schools created or substantially expanded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CSP Grants for Replication and Expansion of High-Quality Charter Schools, CFDA number 84.282M, must be submitted electronically using the Governmentwide Grants.gov Apply site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CSP Grants for Replication and Expansion of High-Quality Charter Schools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3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will not receive additional point value because you submit your application in electronic format, nor will we penalize you if you qualify for an exception to the electronic submission requirement, as described elsewhere </w:t>
      </w:r>
      <w:r>
        <w:rPr>
          <w:rFonts w:ascii="arial" w:eastAsia="arial" w:hAnsi="arial" w:cs="arial"/>
          <w:b w:val="0"/>
          <w:i/>
          <w:strike w:val="0"/>
          <w:noProof w:val="0"/>
          <w:color w:val="000000"/>
          <w:position w:val="0"/>
          <w:sz w:val="20"/>
          <w:u w:val="none"/>
          <w:vertAlign w:val="baseline"/>
        </w:rPr>
        <w:t>in this section, and submit your application in paper</w:t>
      </w:r>
      <w:r>
        <w:rPr>
          <w:rFonts w:ascii="arial" w:eastAsia="arial" w:hAnsi="arial" w:cs="arial"/>
          <w:b w:val="0"/>
          <w:i w:val="0"/>
          <w:strike w:val="0"/>
          <w:noProof w:val="0"/>
          <w:color w:val="000000"/>
          <w:position w:val="0"/>
          <w:sz w:val="20"/>
          <w:u w:val="none"/>
          <w:vertAlign w:val="baseline"/>
        </w:rPr>
        <w:t xml:space="preserve">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upload any narrative sections and all other attachments to your application as files in a .PDF (Portable Document) read-only, non-modifiable format. Specifically, do not upload an interactive or fillable .PDF </w:t>
      </w:r>
      <w:r>
        <w:rPr>
          <w:rFonts w:ascii="arial" w:eastAsia="arial" w:hAnsi="arial" w:cs="arial"/>
          <w:b/>
          <w:i w:val="0"/>
          <w:strike w:val="0"/>
          <w:noProof w:val="0"/>
          <w:color w:val="000000"/>
          <w:position w:val="0"/>
          <w:sz w:val="20"/>
          <w:u w:val="none"/>
          <w:vertAlign w:val="baseline"/>
        </w:rPr>
        <w:t> [*33506] </w:t>
      </w:r>
      <w:r>
        <w:rPr>
          <w:rFonts w:ascii="arial" w:eastAsia="arial" w:hAnsi="arial" w:cs="arial"/>
          <w:b w:val="0"/>
          <w:i w:val="0"/>
          <w:strike w:val="0"/>
          <w:noProof w:val="0"/>
          <w:color w:val="000000"/>
          <w:position w:val="0"/>
          <w:sz w:val="20"/>
          <w:u w:val="none"/>
          <w:vertAlign w:val="baseline"/>
        </w:rPr>
        <w:t xml:space="preserve"> file.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Brian Martin, U.S. Department of Education, 400 Maryland Avenue, SW., room 4W224, Washington, DC 20202-5970.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84.282M,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84.282M,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Applications for CSP Replication and Expansion grant funds must address the following application requirements and </w:t>
      </w:r>
      <w:r>
        <w:rPr>
          <w:rFonts w:ascii="arial" w:eastAsia="arial" w:hAnsi="arial" w:cs="arial"/>
          <w:b/>
          <w:i w:val="0"/>
          <w:strike w:val="0"/>
          <w:noProof w:val="0"/>
          <w:color w:val="000000"/>
          <w:position w:val="0"/>
          <w:sz w:val="20"/>
          <w:u w:val="none"/>
          <w:vertAlign w:val="baseline"/>
        </w:rPr>
        <w:t> [*33507] </w:t>
      </w:r>
      <w:r>
        <w:rPr>
          <w:rFonts w:ascii="arial" w:eastAsia="arial" w:hAnsi="arial" w:cs="arial"/>
          <w:b w:val="0"/>
          <w:i w:val="0"/>
          <w:strike w:val="0"/>
          <w:noProof w:val="0"/>
          <w:color w:val="000000"/>
          <w:position w:val="0"/>
          <w:sz w:val="20"/>
          <w:u w:val="none"/>
          <w:vertAlign w:val="baseline"/>
        </w:rPr>
        <w:t xml:space="preserve"> the selection criteria described in this notice. An applicant may choose to respond to the application requirements in the context of its responses to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application requirements are from the Final Priorities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Describe the objectives of the project for replicating or substantially expanding high-quality charter schools (as defined in this notice) and the methods by which the applicant will determine its progress toward achieving those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 how the applicant currently operates or manages the charter schools for which it has presented evidence of success, and how the proposed new or substantially expanded charter schools will be operated or managed. Include a description of central office functions, governance, daily operations, financial management, human resources management, and instructional management. If applying as a group or consortium, describe the roles and responsibilities of each member of the group or consortium and how each member will contribute to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how the applicant will ensure that each proposed new or substantially expanded charter school receives its commensurate share of Federal education funds that are allocated by formula each year, including during the first year of operation of the school and any year in which the school's enrollment substantially expands.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the educational program to be implemented in the proposed new or substantially expanded charter schools, including how the program will enable all students (including educationally disadvantaged students) to meet State student academic achievement standards, the grade levels or ages of students to be served, and the curriculum and instructional practices to be used.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proposing to create or substantially expand a single-sex charter school should include in its application, or as an addendum to the application, a detailed description of how it is complying with applicable nondiscrimination laws, including the Equal Protection Clause of the U.S. Constitution (as interpreted in </w:t>
      </w:r>
      <w:hyperlink r:id="rId37"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38"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39" w:history="1">
        <w:r>
          <w:rPr>
            <w:rFonts w:ascii="arial" w:eastAsia="arial" w:hAnsi="arial" w:cs="arial"/>
            <w:b w:val="0"/>
            <w:i/>
            <w:strike w:val="0"/>
            <w:noProof w:val="0"/>
            <w:color w:val="0077CC"/>
            <w:position w:val="0"/>
            <w:sz w:val="20"/>
            <w:u w:val="single"/>
            <w:vertAlign w:val="baseline"/>
          </w:rPr>
          <w:t>34 CFR 106.34(c)</w:t>
        </w:r>
      </w:hyperlink>
      <w:r>
        <w:rPr>
          <w:rFonts w:ascii="arial" w:eastAsia="arial" w:hAnsi="arial" w:cs="arial"/>
          <w:b w:val="0"/>
          <w:i w:val="0"/>
          <w:strike w:val="0"/>
          <w:noProof w:val="0"/>
          <w:color w:val="000000"/>
          <w:position w:val="0"/>
          <w:sz w:val="20"/>
          <w:u w:val="none"/>
          <w:vertAlign w:val="baseline"/>
        </w:rPr>
        <w:t xml:space="preserve">. Specifically, the applicant should provide a written justification for each new or existing single-sex charter school that explains (1) how the single-sex charter school is based on an important governmental objective(s); and (2) how the single-sex nature of the charter school is substantially related to the stated objective(s). An applicant that operates or is proposing to operate a single-sex charter school that is part of an LEA and not a single-school LEA under State law, should also provide (1) information about whether there is a substantially equal single-sex school(s) for students of the excluded sex, and, if so, a detailed description of both the current or proposed single-sex charter school and the substantially equal single-sex school(s), based on the factors in </w:t>
      </w:r>
      <w:hyperlink r:id="rId39" w:history="1">
        <w:r>
          <w:rPr>
            <w:rFonts w:ascii="arial" w:eastAsia="arial" w:hAnsi="arial" w:cs="arial"/>
            <w:b w:val="0"/>
            <w:i/>
            <w:strike w:val="0"/>
            <w:noProof w:val="0"/>
            <w:color w:val="0077CC"/>
            <w:position w:val="0"/>
            <w:sz w:val="20"/>
            <w:u w:val="single"/>
            <w:vertAlign w:val="baseline"/>
          </w:rPr>
          <w:t>34 CFR 106.34(c)(3)</w:t>
        </w:r>
      </w:hyperlink>
      <w:r>
        <w:rPr>
          <w:rFonts w:ascii="arial" w:eastAsia="arial" w:hAnsi="arial" w:cs="arial"/>
          <w:b w:val="0"/>
          <w:i w:val="0"/>
          <w:strike w:val="0"/>
          <w:noProof w:val="0"/>
          <w:color w:val="000000"/>
          <w:position w:val="0"/>
          <w:sz w:val="20"/>
          <w:u w:val="none"/>
          <w:vertAlign w:val="baseline"/>
        </w:rPr>
        <w:t xml:space="preserve">; and (2) information about whether there is a substantially equal coeducational school(s) for students of the excluded sex, and, if so, a detailed description of both the current or proposed single-sex charter school and the substantially equal coeducational school(s), based on the factors in </w:t>
      </w:r>
      <w:hyperlink r:id="rId39" w:history="1">
        <w:r>
          <w:rPr>
            <w:rFonts w:ascii="arial" w:eastAsia="arial" w:hAnsi="arial" w:cs="arial"/>
            <w:b w:val="0"/>
            <w:i/>
            <w:strike w:val="0"/>
            <w:noProof w:val="0"/>
            <w:color w:val="0077CC"/>
            <w:position w:val="0"/>
            <w:sz w:val="20"/>
            <w:u w:val="single"/>
            <w:vertAlign w:val="baseline"/>
          </w:rPr>
          <w:t>34 CFR 106.34(c)(3)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that currently offers or is proposing to create or expand single-sex classes or extracurricular activities at a coeducational charter school should also include in its application, or as an addendum to its application, a detailed description of how it will comply with applicable nondiscrimination laws, including the Equal Protection Clause of the U.S. Constitution (as interpreted in </w:t>
      </w:r>
      <w:hyperlink r:id="rId37"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38"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39" w:history="1">
        <w:r>
          <w:rPr>
            <w:rFonts w:ascii="arial" w:eastAsia="arial" w:hAnsi="arial" w:cs="arial"/>
            <w:b w:val="0"/>
            <w:i/>
            <w:strike w:val="0"/>
            <w:noProof w:val="0"/>
            <w:color w:val="0077CC"/>
            <w:position w:val="0"/>
            <w:sz w:val="20"/>
            <w:u w:val="single"/>
            <w:vertAlign w:val="baseline"/>
          </w:rPr>
          <w:t>34 CFR 106.34(b)</w:t>
        </w:r>
      </w:hyperlink>
      <w:r>
        <w:rPr>
          <w:rFonts w:ascii="arial" w:eastAsia="arial" w:hAnsi="arial" w:cs="arial"/>
          <w:b w:val="0"/>
          <w:i w:val="0"/>
          <w:strike w:val="0"/>
          <w:noProof w:val="0"/>
          <w:color w:val="000000"/>
          <w:position w:val="0"/>
          <w:sz w:val="20"/>
          <w:u w:val="none"/>
          <w:vertAlign w:val="baseline"/>
        </w:rPr>
        <w:t xml:space="preserve"> with respect to those single-sex offerings. The Title IX requirements are discussed in more detail in the Department's "Questions and Answers on Title IX and Single-Sex Elementary and Secondary Classes and Extracurricular Activities," available at </w:t>
      </w:r>
      <w:r>
        <w:rPr>
          <w:rFonts w:ascii="arial" w:eastAsia="arial" w:hAnsi="arial" w:cs="arial"/>
          <w:b w:val="0"/>
          <w:i/>
          <w:strike w:val="0"/>
          <w:noProof w:val="0"/>
          <w:color w:val="000000"/>
          <w:position w:val="0"/>
          <w:sz w:val="20"/>
          <w:u w:val="none"/>
          <w:vertAlign w:val="baseline"/>
        </w:rPr>
        <w:t>www2.ed.gov/about/offices/list/ocr/docs/faqs-title-ix-single-sex-201412.pdf.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 the administrative relationship between the charter school or schools to be replicated or substantially expanded by the applicant and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Describe how the applicant will provide for continued operation of the proposed new or substantially expanded charter school or schools once the Federal grant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Describe how parents and other members of the community will be involved in the planning, program design, and implementation of the proposed new or substantially expanded charter school 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Include a request and justification for waivers of any Federal statutory or regulatory provisions that the applicant believes are necessary for the successful operation of the proposed new or substantially expanded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how the grant funds will be used, including how these funds will be used in conjunction with other Federal programs administered by the Secretary, and with any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Describe how all students in the community, including students with disabilities, English learners, and other educationally disadvantaged students, will be informed about the proposed new or substantially expanded charter schools and given an equal opportunity to attend such schools.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applicant should provide a detailed description of its recruitment and admissions policies and practices, including a description of the lottery it plans to employ at each charter school if more students apply for admission than can be accommodated. The applicant should also describe any current or planned use of a weighted lottery or exemptions of certain categories of students from the lottery and how the use of such weights or exemptions is consistent with State law and the CSP authorizing statute. For information on the CSP lottery requirement, including permissible exemptions from the lottery and the circumstances under which charter schools receiving CSP funds may use weighted lotteries, see Section E of the CSP Nonregulatory Guidance at </w:t>
      </w:r>
      <w:r>
        <w:rPr>
          <w:rFonts w:ascii="arial" w:eastAsia="arial" w:hAnsi="arial" w:cs="arial"/>
          <w:b w:val="0"/>
          <w:i/>
          <w:strike w:val="0"/>
          <w:noProof w:val="0"/>
          <w:color w:val="000000"/>
          <w:position w:val="0"/>
          <w:sz w:val="20"/>
          <w:u w:val="none"/>
          <w:vertAlign w:val="baseline"/>
        </w:rPr>
        <w:t>www2.ed.gov/programs/charter/nonregulatory-guidance.html</w:t>
      </w:r>
      <w:r>
        <w:rPr>
          <w:rFonts w:ascii="arial" w:eastAsia="arial" w:hAnsi="arial" w:cs="arial"/>
          <w:b w:val="0"/>
          <w:i w:val="0"/>
          <w:strike w:val="0"/>
          <w:noProof w:val="0"/>
          <w:color w:val="000000"/>
          <w:position w:val="0"/>
          <w:sz w:val="20"/>
          <w:u w:val="none"/>
          <w:vertAlign w:val="baseline"/>
        </w:rPr>
        <w:t xml:space="preserve"> (revised January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that proposes to use a weighted lottery should provide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concerning the circumstances in which a weighted lottery would be used, including the specific categories of students the weighted lottery would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Evidence that (a) the use of a weighted lottery is necessary to comply with Federal or State law; or (b) the State permits the use of a weighted lottery under the circumstances in which a weighted lottery is proposed to be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favor of educationally disadvantaged students). State permission to use a weighted lottery can be evidenced by the fact that weighted lotteries for such students are expressly permitted under the State charter school law,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written State policy consistent with the State charter school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the absence of express authorization, confirmation from the State's Attorney General, in writing, that State law permits the use of weighted lotteries in favor of such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Information concerning the mechanisms that exist (if any) for an oversight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SEA or an authorized public chartering agency) to review, approve, or monitor specific lottery practices, including the establishment of weight amounts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Information concerning how the use of a weighted lottery for a permitted purpose is within the scope and objectives of the proposed project; and </w:t>
      </w:r>
      <w:r>
        <w:rPr>
          <w:rFonts w:ascii="arial" w:eastAsia="arial" w:hAnsi="arial" w:cs="arial"/>
          <w:b/>
          <w:i w:val="0"/>
          <w:strike w:val="0"/>
          <w:noProof w:val="0"/>
          <w:color w:val="000000"/>
          <w:position w:val="0"/>
          <w:sz w:val="20"/>
          <w:u w:val="none"/>
          <w:vertAlign w:val="baseline"/>
        </w:rPr>
        <w:t> [*33508]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Information concerning the amount or range of lottery weights that will be employed or permitted and the rationale for these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Describe how the proposed new or substantially expanded charter schools that are considered to be LEAs under State law, or the LEAs in which the new or substantially expanded charter schools are located, will comply with sections 613(a)(5) and 613(e)(1)(B) of the Individuals with Disabilities Education Act (IDEA) (for additional information on IDEA, please see </w:t>
      </w:r>
      <w:r>
        <w:rPr>
          <w:rFonts w:ascii="arial" w:eastAsia="arial" w:hAnsi="arial" w:cs="arial"/>
          <w:b w:val="0"/>
          <w:i/>
          <w:strike w:val="0"/>
          <w:noProof w:val="0"/>
          <w:color w:val="000000"/>
          <w:position w:val="0"/>
          <w:sz w:val="20"/>
          <w:u w:val="none"/>
          <w:vertAlign w:val="baseline"/>
        </w:rPr>
        <w:t>idea.ed.gov/explore/view/p/%2Croot%2Cstatute%2CI%2CB%2C613%2C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Provide information on any significant compliance issues identified within the past three years for each school managed by the applicant, including compliance issues in the areas of student safety, financial management, and statutory or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For each charter school currently operated or managed by the applicant, provide the following information: the year founded, the grades currently served, the number of students, the address, the percentage of students in each subgroup of students described in section 1111(b)(2)(C)(v)(II) of the ESEA, results on the State assessment for the past three years (if available) by subgroup, attendance rates, student attrition rates for the past three years, and (if the school operates a 12th grade) high school graduation rates and college attendance rates (maintaining standards to protect personally identifiable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also provide suspension and expulsion rates by each subgroup for the past three years (if available) for each charter school currently operated or managed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Provide objective data showing applicant quality. In particular, the Secretary requires the applicant to provide the following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 (school-wide and by subgroup) for the past three years (if available) on statewide tests of all charter schools operated or managed by the applicant as compared to all students in other schools in the State or States at the same grade level, and as compared with other schools serving similar demographics of students (maintaining standards to protect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student attendance and retention rates (school-wide and by subgroup) for the past three years (or over the life of the school, if the school has been open for fewer than three years), and comparisons with other similar schools (maintaining standards to protect personally identifiable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Where applicable and available, high school graduation rates, college attendance rates, and college persistence rates (school-wide and by subgroup) for the past three years (if available) of students attending schools operated or managed by the applicant, and the methodology used to calculate these rates (maintaining standards to protect personally identifiable information). When reporting data for schools in States that may have particularly demanding or low standards of proficiency, applicants are invited to discuss how their academic success might be considered against applicants from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Provide such other information and assurances as the Secretary may require.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the Final Priorities for this program and </w:t>
      </w:r>
      <w:hyperlink r:id="rId4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maximum possible score for addressing all of the criteria in this section is 100 points. The maximum possible score for addressing each criterion is indicated in parentheses following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an application, the Secretary considers the following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eligible applicant.</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(50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applicant,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degree, including the consistency over the past three years, to which the applicant has demonstrated success in significantly increasing student academic achievement and attainment for all students, including, as applicable, educationally disadvantaged students served by the charter schools operated or managed by the applicant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degree, including the consistency over the past three years, to which the applicant has demonstrated success in closing historic achievement gaps for the subgroups of students described in section 1111(b)(2)(C)(v)(II) of the ESEA at the charter schools operated or managed by the applicant,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degree, including the consistency over the past three years, to which there have not been significant achievement gaps between any of the subgroups of students described in section 1111(b)(2)(C)(v)(II) of the ESEA at the charter schools operated or managed by the applicant and to which significant gains in student academic achievement have been made with all populations of students served by the charter schools operated or managed by the applicant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degree, including the consistency over the past three years, to which the applicant has achieved results (including performance on statewide tests, annual student attendance and retention rates, high school graduation rates, college attendance rates, and college persistence rates where applicable and available) for low-income and other educationally disadvantaged students served by the charter schools operated or managed by the applicant that are significantly above the average academic achievement results for such students in the State (15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Contribution in assisting educationally disadvantaged students.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contribution the proposed project will make in assisting educationally disadvantaged students served by the applicant to meet or exceed State academic content standards and State student academic achievement standards, and to graduate college- and career-ready. When responding to this selection criterion, applicants must discuss the proposed locations of schools to be created or substantially expanded and the student populations to be served.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describe their prior success in improving educational achievement and outcomes for educationally disadvantaged students, including students with disabilities and English learners. In addition, the Secretary encourages applicants to address how they will ensure that all eligible students with disabilities receive a free appropriate public education and how the proposed project will assist educationally disadvantaged students, including students with disabilities and English learners, in mastering State academic content standards and State student academic achievement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34 CFR 75.210(c)(2)</w:t>
        </w:r>
      </w:hyperlink>
      <w:r>
        <w:rPr>
          <w:rFonts w:ascii="arial" w:eastAsia="arial" w:hAnsi="arial" w:cs="arial"/>
          <w:b w:val="0"/>
          <w:i w:val="0"/>
          <w:strike w:val="0"/>
          <w:noProof w:val="0"/>
          <w:color w:val="000000"/>
          <w:position w:val="0"/>
          <w:sz w:val="20"/>
          <w:u w:val="none"/>
          <w:vertAlign w:val="baseline"/>
        </w:rPr>
        <w:t>(xxviii))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considers the quality of the design of the proposed project. In determining the quality of the design of the proposed project, the Secretary considers the extent to which the goals, objectives, and outcomes to be achieved by the proposed project are clearly specified, measurable, and attainable. Applicants proposing to open schools serving substantially different populations than those currently served by the model for which they have demonstrated evidence of success must address the attainability of outcomes given this difference. </w:t>
      </w:r>
      <w:r>
        <w:rPr>
          <w:rFonts w:ascii="arial" w:eastAsia="arial" w:hAnsi="arial" w:cs="arial"/>
          <w:b/>
          <w:i w:val="0"/>
          <w:strike w:val="0"/>
          <w:noProof w:val="0"/>
          <w:color w:val="000000"/>
          <w:position w:val="0"/>
          <w:sz w:val="20"/>
          <w:u w:val="none"/>
          <w:vertAlign w:val="baseline"/>
        </w:rPr>
        <w:t> [*33509]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and personnel.</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(76 FR 40898)</w:t>
        </w:r>
      </w:hyperlink>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and personnel to replicate and substantially expand high-quality charter schools (as defined in this notice). In determining the quality of the management plan and personnel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business plan for improving, sustaining, and ensuring the quality and performance of charter schools created or substantially expanded under these grants beyond the initial period of Federal funding in areas including, but not limited to, facilities, financial management, central office, student academic achievement, governance, oversight, and human resources of the charter schools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multi-year financial and operating model for the organization, a demonstrated commitment of current and future partners, and evidence of broad support from stakeholders critical to the project's long-term success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for closing charter schools supported, overseen, or managed by the applicant that do not meet high standards of quality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qualifications, including relevant training and experience, of the project director, chief executive officer or organization leader, and key project personnel, especially in managing projects of the size and scope of the proposed project (6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evaluation plan.</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34 CFR 75.210(h)(2)(iv)</w:t>
        </w:r>
      </w:hyperlink>
      <w:r>
        <w:rPr>
          <w:rFonts w:ascii="arial" w:eastAsia="arial" w:hAnsi="arial" w:cs="arial"/>
          <w:b w:val="0"/>
          <w:i w:val="0"/>
          <w:strike w:val="0"/>
          <w:noProof w:val="0"/>
          <w:color w:val="000000"/>
          <w:position w:val="0"/>
          <w:sz w:val="20"/>
          <w:u w:val="none"/>
          <w:vertAlign w:val="baseline"/>
        </w:rPr>
        <w: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extent to which the methods of evaluation include the use of objective performance measures that are clearly related to the intended outcomes of the project and will produce quantitative and qualitative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1"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4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4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Program Performance Measures. The goal of the CSP is to support the creation and development of a large number of high-quality charter schools that are free from State or local rules that inhibit flexible operation, are held accountable for enabling students to reach challenging State performance standards, and are open to all students. The Secretary has two performance indicators to measure progress towards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Project-Specific Performance Measures. Applicants must propose project-specific performance measures and performance targets consistent with the objectives of the proposed project. Applications must provide the following information as directed under </w:t>
      </w:r>
      <w:hyperlink r:id="rId52"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Performance measures. How each proposed performance measure (as defined in this notice) would accurately measure the performance of the project and how the proposed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Baseline data. (i) Why each proposed baseline (as defined in this notice) is valid; or (ii) If the applicant has determined that there are no established baseline data for a particular performance measure, an explanation of why there is no established baseline and of how and when, during the project period, the applicant would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Performance targets. Why each proposed performance target (as defined in this notice) is ambitious (as defined in this notice) yet achievable compared to the baseline for the performance </w:t>
      </w:r>
      <w:r>
        <w:rPr>
          <w:rFonts w:ascii="arial" w:eastAsia="arial" w:hAnsi="arial" w:cs="arial"/>
          <w:b/>
          <w:i w:val="0"/>
          <w:strike w:val="0"/>
          <w:noProof w:val="0"/>
          <w:color w:val="000000"/>
          <w:position w:val="0"/>
          <w:sz w:val="20"/>
          <w:u w:val="none"/>
          <w:vertAlign w:val="baseline"/>
        </w:rPr>
        <w:t> [*33510] </w:t>
      </w:r>
      <w:r>
        <w:rPr>
          <w:rFonts w:ascii="arial" w:eastAsia="arial" w:hAnsi="arial" w:cs="arial"/>
          <w:b w:val="0"/>
          <w:i w:val="0"/>
          <w:strike w:val="0"/>
          <w:noProof w:val="0"/>
          <w:color w:val="000000"/>
          <w:position w:val="0"/>
          <w:sz w:val="20"/>
          <w:u w:val="none"/>
          <w:vertAlign w:val="baseline"/>
        </w:rPr>
        <w:t xml:space="preserv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encourages applicants to consider measures and targets tied to their grant activities (for instance, if grant funds will support professional development for teachers and other staff, applicants should include measures related to the outcomes for the professional development), as well as to student academic achievement during the grant period. The measures should be sufficient to gauge the progress throughout the grant period, and show results by the end of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assistance in developing effective performance measures, applicants are encouraged to review information provided by the Department's Regional Educational Laboratories (RELs). The RELs seek to build the capacity of States and school districts to incorporate data and research into education decision-making. Each REL provides research support and technical assistance to its region but makes learning opportunities available to educators everywhere. For example, the REL Northeast and Islands has created the following resource on logic models: </w:t>
      </w:r>
      <w:r>
        <w:rPr>
          <w:rFonts w:ascii="arial" w:eastAsia="arial" w:hAnsi="arial" w:cs="arial"/>
          <w:b w:val="0"/>
          <w:i/>
          <w:strike w:val="0"/>
          <w:noProof w:val="0"/>
          <w:color w:val="000000"/>
          <w:position w:val="0"/>
          <w:sz w:val="20"/>
          <w:u w:val="none"/>
          <w:vertAlign w:val="baseline"/>
        </w:rPr>
        <w:t>relpacific.mcrel.org/resources/elm-app.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 must also describe in the application: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collection and reporting of performance data through other projects or research, the applicant should provide other evidence of capacity to successfully carry out data collection and reporting for their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3"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4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Martin, U.S. Department of Education, 400 Maryland Avenue SW., room 4W224, Washington, DC 20202-5970. Telephone: (202) 205-9085 or by email: </w:t>
      </w:r>
      <w:hyperlink r:id="rId29" w:history="1">
        <w:r>
          <w:rPr>
            <w:rFonts w:ascii="arial" w:eastAsia="arial" w:hAnsi="arial" w:cs="arial"/>
            <w:b w:val="0"/>
            <w:i/>
            <w:strike w:val="0"/>
            <w:noProof w:val="0"/>
            <w:color w:val="0077CC"/>
            <w:position w:val="0"/>
            <w:sz w:val="20"/>
            <w:u w:val="single"/>
            <w:vertAlign w:val="baseline"/>
          </w:rPr>
          <w:t>brian.martin@ed.gov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2015-14386 Filed 6-11-15;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June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Pre-Application Meeting: June 16, 2015, 2:00 p.m. to 3:30 p.m., Washington, DC, time. </w:t>
      </w:r>
      <w:r>
        <w:rPr>
          <w:rFonts w:ascii="arial" w:eastAsia="arial" w:hAnsi="arial" w:cs="arial"/>
          <w:b/>
          <w:i w:val="0"/>
          <w:strike w:val="0"/>
          <w:noProof w:val="0"/>
          <w:color w:val="000000"/>
          <w:position w:val="0"/>
          <w:sz w:val="20"/>
          <w:u w:val="none"/>
          <w:vertAlign w:val="baseline"/>
        </w:rPr>
        <w:t> [*33500]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July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September 25,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33499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V6-FN90-006W-808J-00000-00&amp;context=" TargetMode="External" /><Relationship Id="rId11" Type="http://schemas.openxmlformats.org/officeDocument/2006/relationships/hyperlink" Target="https://advance.lexis.com/api/document?collection=statutes-legislation&amp;id=urn:contentItem:5RW6-6GD0-0019-T3N0-00000-00&amp;context=" TargetMode="External" /><Relationship Id="rId12" Type="http://schemas.openxmlformats.org/officeDocument/2006/relationships/hyperlink" Target="https://advance.lexis.com/api/document?collection=administrative-codes&amp;id=urn:contentItem:5GMB-DPF0-008H-034V-00000-00&amp;context=" TargetMode="External" /><Relationship Id="rId13" Type="http://schemas.openxmlformats.org/officeDocument/2006/relationships/hyperlink" Target="https://advance.lexis.com/api/document?collection=administrative-codes&amp;id=urn:contentItem:5GMB-DPB0-008H-02BK-00000-00&amp;context=" TargetMode="External" /><Relationship Id="rId14" Type="http://schemas.openxmlformats.org/officeDocument/2006/relationships/hyperlink" Target="http://www.ed.gov/esea/flexibility" TargetMode="External" /><Relationship Id="rId15" Type="http://schemas.openxmlformats.org/officeDocument/2006/relationships/hyperlink" Target="http://www.whitehouse.gov/the-press-office/2014/01/08/fact-sheet-president-obama-s-promise-zones-initiative" TargetMode="External" /><Relationship Id="rId16" Type="http://schemas.openxmlformats.org/officeDocument/2006/relationships/hyperlink" Target="http://www.hud.gov/promisezones" TargetMode="External" /><Relationship Id="rId17" Type="http://schemas.openxmlformats.org/officeDocument/2006/relationships/hyperlink" Target="http://portal.hud.gov/hudportal/documents/huddoc?id=HUD_Form_50153.pdf" TargetMode="External" /><Relationship Id="rId18" Type="http://schemas.openxmlformats.org/officeDocument/2006/relationships/hyperlink" Target="https://advance.lexis.com/api/document?collection=administrative-codes&amp;id=urn:contentItem:5GMB-DPB0-008H-0269-00000-00&amp;context=" TargetMode="External" /><Relationship Id="rId19" Type="http://schemas.openxmlformats.org/officeDocument/2006/relationships/hyperlink" Target="https://advance.lexis.com/api/document?collection=administrative-codes&amp;id=urn:contentItem:5GMB-DPB0-008H-026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7J-00000-00&amp;context=" TargetMode="External" /><Relationship Id="rId21" Type="http://schemas.openxmlformats.org/officeDocument/2006/relationships/hyperlink" Target="http://ies.ed.gov/ncee/wwc/references/idocviewer/doc.aspx?docid=19&amp;tocid=1" TargetMode="External" /><Relationship Id="rId22" Type="http://schemas.openxmlformats.org/officeDocument/2006/relationships/hyperlink" Target="http://ies.ed.gov/ncee/tech_methods/" TargetMode="External" /><Relationship Id="rId23" Type="http://schemas.openxmlformats.org/officeDocument/2006/relationships/hyperlink" Target="http://ies.ed.gov/ncee/wwc/news.aspx?sid=23" TargetMode="External" /><Relationship Id="rId24" Type="http://schemas.openxmlformats.org/officeDocument/2006/relationships/hyperlink" Target="http://ies.ed.gov/ncee/wwc/News.aspx?sid=18"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s://advance.lexis.com/api/document?collection=statutes-legislation&amp;id=urn:contentItem:4YF7-GNX1-NRF4-43K4-00000-00&amp;context=" TargetMode="External" /><Relationship Id="rId27" Type="http://schemas.openxmlformats.org/officeDocument/2006/relationships/hyperlink" Target="https://advance.lexis.com/api/document?collection=statutes-legislation&amp;id=urn:contentItem:4YF7-GWP1-NRF4-43C2-00000-00&amp;context=" TargetMode="External" /><Relationship Id="rId28" Type="http://schemas.openxmlformats.org/officeDocument/2006/relationships/hyperlink" Target="https://advance.lexis.com/api/document?collection=statutes-legislation&amp;id=urn:contentItem:4YF7-GPC1-NRF4-430S-00000-00&amp;context=" TargetMode="External" /><Relationship Id="rId29" Type="http://schemas.openxmlformats.org/officeDocument/2006/relationships/hyperlink" Target="mailto:brian.martin@ed.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9C-N1H0-008H-002J-00000-00&amp;context=" TargetMode="External" /><Relationship Id="rId31" Type="http://schemas.openxmlformats.org/officeDocument/2006/relationships/hyperlink" Target="mailto:CharterSchools@ed.gov" TargetMode="External" /><Relationship Id="rId32" Type="http://schemas.openxmlformats.org/officeDocument/2006/relationships/hyperlink" Target="https://advance.lexis.com/api/document?collection=statutes-legislation&amp;id=urn:contentItem:4YF7-GT81-NRF4-401W-00000-00&amp;context=" TargetMode="External" /><Relationship Id="rId33" Type="http://schemas.openxmlformats.org/officeDocument/2006/relationships/hyperlink" Target="http://www.SAM.gov" TargetMode="External" /><Relationship Id="rId34" Type="http://schemas.openxmlformats.org/officeDocument/2006/relationships/hyperlink" Target="http://www.grants.gov/web/grants/register.html" TargetMode="External" /><Relationship Id="rId35" Type="http://schemas.openxmlformats.org/officeDocument/2006/relationships/hyperlink" Target="http://www.Grants.gov" TargetMode="External" /><Relationship Id="rId36" Type="http://schemas.openxmlformats.org/officeDocument/2006/relationships/hyperlink" Target="http://www.G5.gov" TargetMode="External" /><Relationship Id="rId37" Type="http://schemas.openxmlformats.org/officeDocument/2006/relationships/hyperlink" Target="https://advance.lexis.com/api/document?collection=cases&amp;id=urn:contentItem:3S04-RPH0-003B-R241-00000-00&amp;context=" TargetMode="External" /><Relationship Id="rId38" Type="http://schemas.openxmlformats.org/officeDocument/2006/relationships/hyperlink" Target="https://advance.lexis.com/api/document?collection=statutes-legislation&amp;id=urn:contentItem:4YF7-GT61-NRF4-454S-00000-00&amp;context=" TargetMode="External" /><Relationship Id="rId39" Type="http://schemas.openxmlformats.org/officeDocument/2006/relationships/hyperlink" Target="https://advance.lexis.com/api/document?collection=administrative-codes&amp;id=urn:contentItem:5KS0-F610-008H-02VG-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7T-7HS0-008H-02VY-00000-00&amp;context=" TargetMode="External" /><Relationship Id="rId41" Type="http://schemas.openxmlformats.org/officeDocument/2006/relationships/hyperlink" Target="https://advance.lexis.com/api/document?collection=administrative-codes&amp;id=urn:contentItem:5GMB-DPB0-008H-02GP-00000-00&amp;context=" TargetMode="External" /><Relationship Id="rId42" Type="http://schemas.openxmlformats.org/officeDocument/2006/relationships/hyperlink" Target="https://advance.lexis.com/api/document?collection=administrative-codes&amp;id=urn:contentItem:5KS0-F5W0-008H-023P-00000-00&amp;context=" TargetMode="External" /><Relationship Id="rId43" Type="http://schemas.openxmlformats.org/officeDocument/2006/relationships/hyperlink" Target="https://advance.lexis.com/api/document?collection=administrative-codes&amp;id=urn:contentItem:5R5H-J1H0-008H-043K-00000-00&amp;context=" TargetMode="External" /><Relationship Id="rId44" Type="http://schemas.openxmlformats.org/officeDocument/2006/relationships/hyperlink" Target="https://advance.lexis.com/api/document?collection=administrative-codes&amp;id=urn:contentItem:5KS0-F5W0-008H-024V-00000-00&amp;context=" TargetMode="External" /><Relationship Id="rId45" Type="http://schemas.openxmlformats.org/officeDocument/2006/relationships/hyperlink" Target="https://advance.lexis.com/api/document?collection=administrative-codes&amp;id=urn:contentItem:5KS0-F600-008H-02PT-00000-00&amp;context=" TargetMode="External" /><Relationship Id="rId46" Type="http://schemas.openxmlformats.org/officeDocument/2006/relationships/hyperlink" Target="https://advance.lexis.com/api/document?collection=administrative-codes&amp;id=urn:contentItem:5KS0-F5W0-008H-025B-00000-00&amp;context=" TargetMode="External" /><Relationship Id="rId47" Type="http://schemas.openxmlformats.org/officeDocument/2006/relationships/hyperlink" Target="https://advance.lexis.com/api/document?collection=administrative-codes&amp;id=urn:contentItem:5F34-Y1R0-008G-Y1F9-00000-00&amp;context=" TargetMode="External" /><Relationship Id="rId48" Type="http://schemas.openxmlformats.org/officeDocument/2006/relationships/hyperlink" Target="https://advance.lexis.com/api/document?collection=administrative-codes&amp;id=urn:contentItem:5F2R-48P0-008G-Y31V-00000-00&amp;context=" TargetMode="External" /><Relationship Id="rId49" Type="http://schemas.openxmlformats.org/officeDocument/2006/relationships/hyperlink" Target="https://advance.lexis.com/api/document?collection=administrative-codes&amp;id=urn:contentItem:5GMB-DPC0-008H-02S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C0-008H-02SK-00000-00&amp;context=" TargetMode="External" /><Relationship Id="rId51" Type="http://schemas.openxmlformats.org/officeDocument/2006/relationships/hyperlink" Target="http://www.ed.gov/fund/grant/apply/appforms/appforms.html" TargetMode="External" /><Relationship Id="rId52" Type="http://schemas.openxmlformats.org/officeDocument/2006/relationships/hyperlink" Target="https://advance.lexis.com/api/document?collection=administrative-codes&amp;id=urn:contentItem:5GMB-DR10-008H-00WF-00000-00&amp;context=" TargetMode="External" /><Relationship Id="rId53" Type="http://schemas.openxmlformats.org/officeDocument/2006/relationships/hyperlink" Target="https://advance.lexis.com/api/document?collection=administrative-codes&amp;id=urn:contentItem:5GMB-DPB0-008H-02K8-00000-00&amp;context=" TargetMode="External" /><Relationship Id="rId54" Type="http://schemas.openxmlformats.org/officeDocument/2006/relationships/hyperlink" Target="http://www.gpo.gov/fdsys" TargetMode="External" /><Relationship Id="rId55" Type="http://schemas.openxmlformats.org/officeDocument/2006/relationships/hyperlink" Target="http://www.federalregister.gov" TargetMode="External" /><Relationship Id="rId56" Type="http://schemas.openxmlformats.org/officeDocument/2006/relationships/numbering" Target="numbering.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6F-P560-006W-8192-00000-00&amp;context=" TargetMode="External" /><Relationship Id="rId8" Type="http://schemas.openxmlformats.org/officeDocument/2006/relationships/hyperlink" Target="https://advance.lexis.com/api/document?collection=administrative-codes&amp;id=urn:contentItem:5399-1890-006W-8155-00000-00&amp;context=" TargetMode="External" /><Relationship Id="rId9" Type="http://schemas.openxmlformats.org/officeDocument/2006/relationships/hyperlink" Target="https://advance.lexis.com/api/document?collection=administrative-codes&amp;id=urn:contentItem:5DT7-0130-006W-81Y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