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34228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114, Part II, Monday, June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34228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Charter Schools Program Grants for State Educational Agencies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Schools Program (CSP) Grants for State Educational Agencies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84.282A.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financial assistance for the planning, program design, and initial implementation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Evaluating the effects of charter schools, including the effects on students, student achievement, student growth,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Expanding the number of high-quality charter schools available to students across the Nation;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Encouraging the States to provide support to charter schools for facilities financing in an amount more nearly commensurate to the amount the States have typically provided for traditional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enable SEAs to provide financial assistance, through subgrants to eligible applicants (also referred to as non-SEA eligible applicants), for the planning, program design, and initial implementation of charter schools and for the dissemination of information about successful charter schools, including practices that existing charter schools have demonstrated are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For the 2015 CSP SEA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seeks to achieve three main goals. The first goal is to ensure that CSP funds are directed toward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For example, we ask applicants to explain how charter schools fit into the State's broader education reform strategy. In addition, the selection criteria request information from the SEA regarding how it will manage and report on project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goal is to strengthen public accountability and oversight for authorized public chartering agencies (also referred to as authorizers). The notice of final priorities, requirements, definitions, and selection criteria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(NFP), provides incentives for SEAs to implement CSP requirements, as well as State law and policies, in a manner that encourages authorized public chartering agencies to focus on school quality through rigorous and transparent charter school authorization processes. For example, Absolute Priorities 1 Periodic Review and Evaluation and 2 Charter School Oversight require SEAs to ensure public accountability and oversight for charter schools within the State, including holding authorized public chartering agencies accountable for the quality of the charter schools in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goal is to support and improve academic outcomes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Our commitment to equitable outcomes for all students, continued growth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addressing ongoing concerns about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access to and performance in charter schools compel the Department to encourage a continued focus on students at the greatest risk of academic failure. A critical component of serving all students,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is consideration of student body diversity, including racial, ethnic, and socioeconomic diversity. For example, we encourage applicants to meaningfully incorporate student body diversity into charter school models and practices and ask applicants to describe specific actions they would take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through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three goals outlined above, we believe the 2015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streamlines the CSP application process. For example, selection criterion (f)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combines two statutory criteria that have been used separately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asks applicants to describe their plans to disseminate best or promising practices of charter schools to each local educational agency (LEA) in the State, and to describe their dissemination subgrant awards processes, thereby decreasing the burden on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as outlined in section 5210 of the Elementary and Secondary Education Act of 1965, as amended (ESEA), must comply with various non-discrimination laws, including the Age Discrimination Act of 1975, title VI of the Civil Rights Act of 1964, title IX of the Education Amendments Act of 1972, section 504 of the Rehabilitation Act of 1973, part B of the Individuals with Disabilities Act, and applicable State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opening and operating a single-sex charter school, the applicant should ensure that charter schools in its State comply with the Equal Protection Clause of the U.S. Constitution (as interpreted in </w:t>
      </w:r>
      <w:hyperlink r:id="rId8"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1970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10" w:history="1">
        <w:r>
          <w:rPr>
            <w:rFonts w:ascii="arial" w:eastAsia="arial" w:hAnsi="arial" w:cs="arial"/>
            <w:b w:val="0"/>
            <w:i/>
            <w:strike w:val="0"/>
            <w:noProof w:val="0"/>
            <w:color w:val="0077CC"/>
            <w:position w:val="0"/>
            <w:sz w:val="20"/>
            <w:u w:val="single"/>
            <w:vertAlign w:val="baseline"/>
          </w:rPr>
          <w:t>34 CFR 106.34(c)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two absolute priorities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These priorities are from the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section 5202(e) of the Elementary and Secondary Education Act of 1965, as amended (ESEA) (</w:t>
      </w:r>
      <w:hyperlink r:id="rId11" w:history="1">
        <w:r>
          <w:rPr>
            <w:rFonts w:ascii="arial" w:eastAsia="arial" w:hAnsi="arial" w:cs="arial"/>
            <w:b w:val="0"/>
            <w:i/>
            <w:strike w:val="0"/>
            <w:noProof w:val="0"/>
            <w:color w:val="0077CC"/>
            <w:position w:val="0"/>
            <w:sz w:val="20"/>
            <w:u w:val="single"/>
            <w:vertAlign w:val="baseline"/>
          </w:rPr>
          <w:t>20 U.S.C. 7221a(e)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both of the following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1--Periodic Review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the applicant must demonstrate that the State provides for periodic review and evaluation by the authorized public chartering agency of each charter school at least once every five years, unless required more frequently by State law, and takes steps to ensure that such reviews take place. The review and evaluation must serve to determine whether the charter school is meeting the terms of the school's charter and meeting or exceeding the student academic achievement requirements and goals for charter schools as set forth in the school's charter or under State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State policy, provided that the student academic achievement requirements and goals for charter schools established by that policy meet or exceed those set forth under applicable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periodic review and evaluation must include an opportunity </w:t>
      </w:r>
      <w:r>
        <w:rPr>
          <w:rFonts w:ascii="arial" w:eastAsia="arial" w:hAnsi="arial" w:cs="arial"/>
          <w:b/>
          <w:i w:val="0"/>
          <w:strike w:val="0"/>
          <w:noProof w:val="0"/>
          <w:color w:val="000000"/>
          <w:position w:val="0"/>
          <w:sz w:val="20"/>
          <w:u w:val="none"/>
          <w:vertAlign w:val="baseline"/>
        </w:rPr>
        <w:t> [*34229] </w:t>
      </w:r>
      <w:r>
        <w:rPr>
          <w:rFonts w:ascii="arial" w:eastAsia="arial" w:hAnsi="arial" w:cs="arial"/>
          <w:b w:val="0"/>
          <w:i w:val="0"/>
          <w:strike w:val="0"/>
          <w:noProof w:val="0"/>
          <w:color w:val="000000"/>
          <w:position w:val="0"/>
          <w:sz w:val="20"/>
          <w:u w:val="none"/>
          <w:vertAlign w:val="baseline"/>
        </w:rPr>
        <w:t xml:space="preserve"> for the authorized public chartering agency to take appropriate action or impose meaningful consequences on the charter school,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2--Charter School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application must demonstrate that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policies in the State where the applicant is located require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each charter school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Operates under a legally binding charter or performance contract between itself and the school's authorized public chartering agency that describes the rights and responsibilities of the school and the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Conducts annual, timely, and independent audits of the school's financial statements that are filed with the school's authorized public chartering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Demonstrates improved student academic achievement;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all authorized public chartering agencies in the State use increases in student academic achievement for all groups of students described in section 1111(b)(2)(C)(v) of the ESEA (</w:t>
      </w:r>
      <w:hyperlink r:id="rId13" w:history="1">
        <w:r>
          <w:rPr>
            <w:rFonts w:ascii="arial" w:eastAsia="arial" w:hAnsi="arial" w:cs="arial"/>
            <w:b w:val="0"/>
            <w:i/>
            <w:strike w:val="0"/>
            <w:noProof w:val="0"/>
            <w:color w:val="0077CC"/>
            <w:position w:val="0"/>
            <w:sz w:val="20"/>
            <w:u w:val="single"/>
            <w:vertAlign w:val="baseline"/>
          </w:rPr>
          <w:t>20 U.S.C. 6311(b)(2)(C)(v)</w:t>
        </w:r>
      </w:hyperlink>
      <w:r>
        <w:rPr>
          <w:rFonts w:ascii="arial" w:eastAsia="arial" w:hAnsi="arial" w:cs="arial"/>
          <w:b w:val="0"/>
          <w:i w:val="0"/>
          <w:strike w:val="0"/>
          <w:noProof w:val="0"/>
          <w:color w:val="000000"/>
          <w:position w:val="0"/>
          <w:sz w:val="20"/>
          <w:u w:val="none"/>
          <w:vertAlign w:val="baseline"/>
        </w:rPr>
        <w:t>) as one of the most important factors when determining whether to renew or revoke a school's charter.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15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Applications addressing each of these priorities may receive up to 25 priority points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1--High-Quality Authorizing and Monitoring Processes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all authorized public chartering agencies in the State use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Frameworks and processes to evaluate the performance of charter schools on a regular basis that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Rigorous academic and operational performance expectations (including performance expectations related to financial management and equitable treatment of all students and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Performance objectives for each school aligned to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Clear criteria for renewing the charter of a school based on an objective body of evidence, including evidence that the charter school has (a) met the performance objectives outlined in the charter or performance contract; (b) demonstrated organizational and fiscal viability; and (c) demonstrated fidelity to the terms of the charter or performance contract and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Clear criteria for revoking the charter of a school if there is violation of law or public trust regarding student safety or public funds, or evidence of poor student academic achievement;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reporting by authorized public chartering agencies to each of their authorized charter schools that summarizes the individual school's performance and compliance, based on this framework, and identifies any areas that need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Clear and specific standards and formalized processes that measure and benchmark the performance of the authorized public chartering agency or agencies, including the performance of its portfolio of charter schools, and provide for the annual dissemination of information on such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Authorizing processes that establish clear criteria for evaluating charter applications and include a multi-tiered clearance or review of a charter school, including a final review immediately before the school opens for its first operational year;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Authorizing processes that include differentiated review of charter petitions to assess whether, and the extent to which, the charter school developer has been successful (as determined by the authorized public chartering agency) in establishing and operating one or more high-quality charter schools.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2--One Authorized Public Chartering Agency Other than a LEA, or an Appeals Process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the applicant must demonstrate that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Provides for one authorized public chartering agency that is not an LEA, such as a State chartering board, for each individual or entity seeking to operate a charter school pursuant to State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in which LEAs are the only authorized public chartering agencies, allows for an appeals process for the denial of an application for a charter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meet this priority under paragraph (b) above, the entity hearing appeal must have the authority to approve the charter application over the objections of the LEA.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3--SEAs that Have Never Received a CSP Grant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be an eligible SEA applicant that has never received a CSP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Applications for funding under the CSP Grants for SEAs program must address the application requirements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section 5203(b) of the ESEA (</w:t>
      </w:r>
      <w:hyperlink r:id="rId14" w:history="1">
        <w:r>
          <w:rPr>
            <w:rFonts w:ascii="arial" w:eastAsia="arial" w:hAnsi="arial" w:cs="arial"/>
            <w:b w:val="0"/>
            <w:i/>
            <w:strike w:val="0"/>
            <w:noProof w:val="0"/>
            <w:color w:val="0077CC"/>
            <w:position w:val="0"/>
            <w:sz w:val="20"/>
            <w:u w:val="single"/>
            <w:vertAlign w:val="baseline"/>
          </w:rPr>
          <w:t>20 U.S.C. 7221b(b)</w:t>
        </w:r>
      </w:hyperlink>
      <w:r>
        <w:rPr>
          <w:rFonts w:ascii="arial" w:eastAsia="arial" w:hAnsi="arial" w:cs="arial"/>
          <w:b w:val="0"/>
          <w:i w:val="0"/>
          <w:strike w:val="0"/>
          <w:noProof w:val="0"/>
          <w:color w:val="000000"/>
          <w:position w:val="0"/>
          <w:sz w:val="20"/>
          <w:u w:val="none"/>
          <w:vertAlign w:val="baseline"/>
        </w:rPr>
        <w:t>) and the NFP. An applicant may choose to respond to the application requirements in the context of its responses to the selection criteria,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certification that, for purposes of the CSP grant, the SEA uses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the State proposes to use an alternative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in accordance with paragraph (b) of the definition of the term in this notice, (1) the specific definition the State proposes to use; and (2) a written explanation of how the proposed definition is at least as rigorous as the standard in paragraph (a) of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set forth in the Definitions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Disseminating best practices:</w:t>
      </w:r>
      <w:r>
        <w:rPr>
          <w:rFonts w:ascii="arial" w:eastAsia="arial" w:hAnsi="arial" w:cs="arial"/>
          <w:b w:val="0"/>
          <w:i w:val="0"/>
          <w:strike w:val="0"/>
          <w:noProof w:val="0"/>
          <w:color w:val="000000"/>
          <w:position w:val="0"/>
          <w:sz w:val="20"/>
          <w:u w:val="none"/>
          <w:vertAlign w:val="baseline"/>
        </w:rPr>
        <w:t xml:space="preserve"> Describe how the SEA will disseminate best or promising practices of charter schools to each LEA in the State, as requested in selection criterion (f)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Federal funds:</w:t>
      </w:r>
      <w:r>
        <w:rPr>
          <w:rFonts w:ascii="arial" w:eastAsia="arial" w:hAnsi="arial" w:cs="arial"/>
          <w:b w:val="0"/>
          <w:i w:val="0"/>
          <w:strike w:val="0"/>
          <w:noProof w:val="0"/>
          <w:color w:val="000000"/>
          <w:position w:val="0"/>
          <w:sz w:val="20"/>
          <w:u w:val="none"/>
          <w:vertAlign w:val="baseline"/>
        </w:rPr>
        <w:t xml:space="preserve"> As requested in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describe how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inform each charter school in the State about Federal funds the charter school is eligible to receive and Federal programs in which the charter school may participate;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Will ensure that each charter school in the State receives the school's commensurate share of Federal education funds that are allocated by formula each year, including during the first year of operation of the school and a year in which the school's enrollment expands significantly; </w:t>
      </w:r>
      <w:r>
        <w:rPr>
          <w:rFonts w:ascii="arial" w:eastAsia="arial" w:hAnsi="arial" w:cs="arial"/>
          <w:b/>
          <w:i w:val="0"/>
          <w:strike w:val="0"/>
          <w:noProof w:val="0"/>
          <w:color w:val="000000"/>
          <w:position w:val="0"/>
          <w:sz w:val="20"/>
          <w:u w:val="none"/>
          <w:vertAlign w:val="baseline"/>
        </w:rPr>
        <w:t> [*34230]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certification that, for purposes of the CSP grant, the SEA uses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the State proposes to use an alternative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accordance with paragraph (b) of the definition of the term in this notice, (1) the specific definition the State proposes to use; and (2) a written explanation of how the proposed definition is at least as rigorous as the standard in paragraph (a) of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set forth in the Definitions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IDEA Compliance:</w:t>
      </w:r>
      <w:r>
        <w:rPr>
          <w:rFonts w:ascii="arial" w:eastAsia="arial" w:hAnsi="arial" w:cs="arial"/>
          <w:b w:val="0"/>
          <w:i w:val="0"/>
          <w:strike w:val="0"/>
          <w:noProof w:val="0"/>
          <w:color w:val="000000"/>
          <w:position w:val="0"/>
          <w:sz w:val="20"/>
          <w:u w:val="none"/>
          <w:vertAlign w:val="baseline"/>
        </w:rPr>
        <w:t xml:space="preserve"> Describe how charter schools that are considered to be LEAs under State law, and LEAs in which charter schools are located, will comply with sections 613(a)(5) and 613(e)(1)(B) of the Individuals with Disabilities Education Act (IDEA) (</w:t>
      </w:r>
      <w:hyperlink r:id="rId15"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Provide a complete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(as defined in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for the project.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must address the role of the grant in promoting the State-level strategy for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through startup subgrants, optional dissemination subgrants, optional revolving loan funds, and other strategies.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review section VI.4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of this notice for information on the requirements for developing project-specific performance measures and targets consistent with the objectives of the proposed project. Program performance measures, which are also discussed in section VI.4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of this notice, should be included within this logic model. The applicant also should review the information that the Secretary considers under Selection Criterion (h). </w:t>
      </w:r>
      <w:r>
        <w:rPr>
          <w:rFonts w:ascii="arial" w:eastAsia="arial" w:hAnsi="arial" w:cs="arial"/>
          <w:b w:val="0"/>
          <w:i/>
          <w:strike w:val="0"/>
          <w:noProof w:val="0"/>
          <w:color w:val="000000"/>
          <w:position w:val="0"/>
          <w:sz w:val="20"/>
          <w:u w:val="none"/>
          <w:vertAlign w:val="baseline"/>
        </w:rPr>
        <w:t>Management Plan and Theory of Action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assistance in developing effective performance measures, applicants are encouraged to review information provided by the Department's Regional Educational Laboratories (RELs). The RELs seek to build the capacity of States and school districts to incorporate data and research into education decision-making. Each REL provides research support and technical assistance to its region but makes learning opportunities available to educators everywhere. For example, the REL Northeast and Islands has created the following resource on logic models: </w:t>
      </w:r>
      <w:r>
        <w:rPr>
          <w:rFonts w:ascii="arial" w:eastAsia="arial" w:hAnsi="arial" w:cs="arial"/>
          <w:b w:val="0"/>
          <w:i/>
          <w:strike w:val="0"/>
          <w:noProof w:val="0"/>
          <w:color w:val="000000"/>
          <w:position w:val="0"/>
          <w:sz w:val="20"/>
          <w:u w:val="none"/>
          <w:vertAlign w:val="baseline"/>
        </w:rPr>
        <w:t>relpacific.mcrel.org/resources/elm-app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Lottery and enrollment preferences:</w:t>
      </w:r>
      <w:r>
        <w:rPr>
          <w:rFonts w:ascii="arial" w:eastAsia="arial" w:hAnsi="arial" w:cs="arial"/>
          <w:b w:val="0"/>
          <w:i w:val="0"/>
          <w:strike w:val="0"/>
          <w:noProof w:val="0"/>
          <w:color w:val="000000"/>
          <w:position w:val="0"/>
          <w:sz w:val="20"/>
          <w:u w:val="none"/>
          <w:vertAlign w:val="baseline"/>
        </w:rPr>
        <w:t xml:space="preserve"> Describe (1) how lotteries for admission to charter schools will be conducted in the State, including any student enrollment preferences or exemptions from the lottery that charter schools are required or expressly permitted by the State to employ; and (2) any mechanisms that exist for the SEA or authorized public chartering agency to review, monitor, or approve such lotteries or student enrollment preferences or exemptions from the lottery. In addition, the SEA must provide an assurance that it will require each applicant for a CSP subgrant to include in its application descriptions of its recruitment and admissions policies and practices, including a description of the proposed lottery and any enrollment preferences or exemptions from the lottery the charter school employs or plans to employ, and how those enrollment preferences or exemptions are consistent with State law and the CSP authorizing statute (for information related to admissions and lotteries under the CSP, please see section E of the CSP Nonregulatory Guidance (January 2014) at </w:t>
      </w:r>
      <w:r>
        <w:rPr>
          <w:rFonts w:ascii="arial" w:eastAsia="arial" w:hAnsi="arial" w:cs="arial"/>
          <w:b w:val="0"/>
          <w:i/>
          <w:strike w:val="0"/>
          <w:noProof w:val="0"/>
          <w:color w:val="000000"/>
          <w:position w:val="0"/>
          <w:sz w:val="20"/>
          <w:u w:val="none"/>
          <w:vertAlign w:val="baseline"/>
        </w:rPr>
        <w:t>www2.ed.gov/programs/charter/nonregulatory-guidance.html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Objectives: Describe the objectives of the SEA's charter school grant program, as requested in selection criterion (h) </w:t>
      </w:r>
      <w:r>
        <w:rPr>
          <w:rFonts w:ascii="arial" w:eastAsia="arial" w:hAnsi="arial" w:cs="arial"/>
          <w:b w:val="0"/>
          <w:i/>
          <w:strike w:val="0"/>
          <w:noProof w:val="0"/>
          <w:color w:val="000000"/>
          <w:position w:val="0"/>
          <w:sz w:val="20"/>
          <w:u w:val="none"/>
          <w:vertAlign w:val="baseline"/>
        </w:rPr>
        <w:t>Management Plan and Theory of Action,</w:t>
      </w:r>
      <w:r>
        <w:rPr>
          <w:rFonts w:ascii="arial" w:eastAsia="arial" w:hAnsi="arial" w:cs="arial"/>
          <w:b w:val="0"/>
          <w:i w:val="0"/>
          <w:strike w:val="0"/>
          <w:noProof w:val="0"/>
          <w:color w:val="000000"/>
          <w:position w:val="0"/>
          <w:sz w:val="20"/>
          <w:u w:val="none"/>
          <w:vertAlign w:val="baseline"/>
        </w:rPr>
        <w:t xml:space="preserve"> and how these objectives will be fulfilled, including steps taken by the SEA to inform teachers, parents, and communities of the SEA's charter school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Revolving loan fund:</w:t>
      </w:r>
      <w:r>
        <w:rPr>
          <w:rFonts w:ascii="arial" w:eastAsia="arial" w:hAnsi="arial" w:cs="arial"/>
          <w:b w:val="0"/>
          <w:i w:val="0"/>
          <w:strike w:val="0"/>
          <w:noProof w:val="0"/>
          <w:color w:val="000000"/>
          <w:position w:val="0"/>
          <w:sz w:val="20"/>
          <w:u w:val="none"/>
          <w:vertAlign w:val="baseline"/>
        </w:rPr>
        <w:t xml:space="preserve"> If an SEA elects to reserve a portion of its grant funds (no more than 10 percent) to establish a revolving loan fund, describe how the revolving loan fund would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val="0"/>
          <w:i/>
          <w:strike w:val="0"/>
          <w:noProof w:val="0"/>
          <w:color w:val="000000"/>
          <w:position w:val="0"/>
          <w:sz w:val="20"/>
          <w:u w:val="none"/>
          <w:vertAlign w:val="baseline"/>
        </w:rPr>
        <w:t>Waivers:</w:t>
      </w:r>
      <w:r>
        <w:rPr>
          <w:rFonts w:ascii="arial" w:eastAsia="arial" w:hAnsi="arial" w:cs="arial"/>
          <w:b w:val="0"/>
          <w:i w:val="0"/>
          <w:strike w:val="0"/>
          <w:noProof w:val="0"/>
          <w:color w:val="000000"/>
          <w:position w:val="0"/>
          <w:sz w:val="20"/>
          <w:u w:val="none"/>
          <w:vertAlign w:val="baseline"/>
        </w:rPr>
        <w:t xml:space="preserve"> If an SEA desires the Secretary to consider waivers under the authority of the CSP, include a request and justification for any waiver of statutory or regulatory provisions that the SEA believes is necessary for the successful operation of charter schools in the State, as requested in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Definitions: The following definitions are from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NFP, and section 5210 of the CSP authorizing statute (</w:t>
      </w:r>
      <w:hyperlink r:id="rId17" w:history="1">
        <w:r>
          <w:rPr>
            <w:rFonts w:ascii="arial" w:eastAsia="arial" w:hAnsi="arial" w:cs="arial"/>
            <w:b w:val="0"/>
            <w:i/>
            <w:strike w:val="0"/>
            <w:noProof w:val="0"/>
            <w:color w:val="0077CC"/>
            <w:position w:val="0"/>
            <w:sz w:val="20"/>
            <w:u w:val="single"/>
            <w:vertAlign w:val="baseline"/>
          </w:rPr>
          <w:t>20 U.S.C. 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has been in operation for at least three years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been identified as being in the lowest-performing five percent of all schools in the State and has failed to improve school performance (based on the SEA's accountability system under the ESEA) over the past three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failed to demonstrate student academic growth of at least an average of one grade level for each cohort of students in each of the past three years, as demonstrated by statewide or other assessments approved by the authorized public chartering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provided that the SEA complies with the requirements for proposing to use an alternative definition for the term as set forth in paragraph (b)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in the Requirements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means an individual or group of individuals (including a public or private nonprofit organization), which may include teachers, administrators and other school staff, parents, or other members of the local community in which a charter school project will be carried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means economically disadvantaged students, students with disabilities, migrant students, limited English proficient students (also referred to as English learners or English language learners), neglected or delinquent students, or homeless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means a developer that has (a) applied to an authorized public chartering authority to operate a charter school; and (b) provided adequate and timely notice to that authority under section 5203(d)(3)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shows evidence of strong academic results for the past three years (or over the life of the school, if the school has been open for fewer than three years),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Increased student academic achievement and attainment (including, if applicable and available, high school graduation rates and college and other postsecondary education enrollment rates) for all students, including, as applicable,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Demonstrated success in closing historic achievement gaps for the subgroups of students described in section 1111(b)(2)(C)(v)(II) of the ESEA </w:t>
      </w:r>
      <w:r>
        <w:rPr>
          <w:rFonts w:ascii="arial" w:eastAsia="arial" w:hAnsi="arial" w:cs="arial"/>
          <w:b/>
          <w:i w:val="0"/>
          <w:strike w:val="0"/>
          <w:noProof w:val="0"/>
          <w:color w:val="000000"/>
          <w:position w:val="0"/>
          <w:sz w:val="20"/>
          <w:u w:val="none"/>
          <w:vertAlign w:val="baseline"/>
        </w:rPr>
        <w:t> [*34231]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6311(b)(2)(C)(v)(II)</w:t>
        </w:r>
      </w:hyperlink>
      <w:r>
        <w:rPr>
          <w:rFonts w:ascii="arial" w:eastAsia="arial" w:hAnsi="arial" w:cs="arial"/>
          <w:b w:val="0"/>
          <w:i w:val="0"/>
          <w:strike w:val="0"/>
          <w:noProof w:val="0"/>
          <w:color w:val="000000"/>
          <w:position w:val="0"/>
          <w:sz w:val="20"/>
          <w:u w:val="none"/>
          <w:vertAlign w:val="baseline"/>
        </w:rPr>
        <w:t>) at the charter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 significant achievement gaps between any of the subgroups of students described in section 1111(b)(2)(C)(v)(II) of the ESEA (</w:t>
      </w:r>
      <w:hyperlink r:id="rId13" w:history="1">
        <w:r>
          <w:rPr>
            <w:rFonts w:ascii="arial" w:eastAsia="arial" w:hAnsi="arial" w:cs="arial"/>
            <w:b w:val="0"/>
            <w:i/>
            <w:strike w:val="0"/>
            <w:noProof w:val="0"/>
            <w:color w:val="0077CC"/>
            <w:position w:val="0"/>
            <w:sz w:val="20"/>
            <w:u w:val="single"/>
            <w:vertAlign w:val="baseline"/>
          </w:rPr>
          <w:t>20 U.S.C. 6311</w:t>
        </w:r>
      </w:hyperlink>
      <w:r>
        <w:rPr>
          <w:rFonts w:ascii="arial" w:eastAsia="arial" w:hAnsi="arial" w:cs="arial"/>
          <w:b w:val="0"/>
          <w:i w:val="0"/>
          <w:strike w:val="0"/>
          <w:noProof w:val="0"/>
          <w:color w:val="000000"/>
          <w:position w:val="0"/>
          <w:sz w:val="20"/>
          <w:u w:val="none"/>
          <w:vertAlign w:val="baseline"/>
        </w:rPr>
        <w:t>) at the charter school and significant gains in student academic achievement for all populations of students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Results (including, if applicable and available, performance on statewide tests, annual student attendance and retention rates, high school graduation rates, college and other postsecondary education attendance rates, and college and other postsecondary education persistence rates) for low-income and other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 that are above the average academic achievement results for such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Results on a performance framework established by the State or authorized public chartering agency for the purpose of evaluating charter school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No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particularly in the areas of student safety, financial management, and equitable treatment of students;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provided that the SEA complies with the requirements for proposing to use an alternative definition for the term as set forth in paragraph (b)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the Requirements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compliance issue</w:t>
      </w:r>
      <w:r>
        <w:rPr>
          <w:rFonts w:ascii="arial" w:eastAsia="arial" w:hAnsi="arial" w:cs="arial"/>
          <w:b w:val="0"/>
          <w:i w:val="0"/>
          <w:strike w:val="0"/>
          <w:noProof w:val="0"/>
          <w:color w:val="000000"/>
          <w:position w:val="0"/>
          <w:sz w:val="20"/>
          <w:u w:val="none"/>
          <w:vertAlign w:val="baseline"/>
        </w:rPr>
        <w:t xml:space="preserve"> means a violation that did, will, or could (if not addressed or if it represents a pattern of repeated misconduct or material non-compliance) lead to the revocation of a school's charter by the authorizer.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The CSP is authorized under Title V, Part B, Subpart 1 of the ESEA (</w:t>
      </w:r>
      <w:hyperlink r:id="rId1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 xml:space="preserve">); and the Consolidated and Further Continuing Appropriations Act, 2015 (FY 2015 Appropriations Act), </w:t>
      </w:r>
      <w:hyperlink r:id="rId20"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Office of Management and Budget Guidelines to Agencies on Governmentwide Debarment and Suspension (Nonprocurement)in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 (c)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$ 116,000,000.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FY 2015 Appropriations Act authorizes the use of CSP funds "for grants that support preschool education in charter schools." Accordingly, an application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propose to use CSP funds to support preschool education in charter schools. For guidance on how charter schools may use CSP funds to support preschool education in charter schools, please see the Department's nonregulatory guidance, entitled Charter Schools Program Guidance on the Use of Funds to Support Preschool Education, released in November 2014, at </w:t>
      </w:r>
      <w:r>
        <w:rPr>
          <w:rFonts w:ascii="arial" w:eastAsia="arial" w:hAnsi="arial" w:cs="arial"/>
          <w:b w:val="0"/>
          <w:i/>
          <w:strike w:val="0"/>
          <w:noProof w:val="0"/>
          <w:color w:val="000000"/>
          <w:position w:val="0"/>
          <w:sz w:val="20"/>
          <w:u w:val="none"/>
          <w:vertAlign w:val="baseline"/>
        </w:rPr>
        <w:t>www2.ed.gov/programs/charter/csppreschoolfaqs.doc.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$ 3,500,000 to $ 45,000,000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average size, and number of awards are based on a single 12-month budget period. However, the Department may choose to fund more than 12 months of a project using FY 2015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SEAs may award planning and implementation subgrants to eligible applicants for a period of up to three years, no more than 18 months of which may be used for planning and program design and no more than two years of which may be used for the initial implementation of a charter school. SEAs may award dissemination subgrants to eligible charter schools for a period of up to two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in States with a State statute specifically authorizing the establishment of charter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Non-SEA eligible applicants in States in which the SEA elects not to participate in or does not have an application approved under the CSP may apply for funding directly from the Department. The Department is holding a separate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CSP grants to non-SEA eligible applicants under CFDA numbers 84.282B and 84.282C. The notice inviting applications for new awards under CFDA numbers 84.282B and 84.282C will be published later in FY 2015. Additional information about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non-SEA eligible applicants is available at </w:t>
      </w:r>
      <w:r>
        <w:rPr>
          <w:rFonts w:ascii="arial" w:eastAsia="arial" w:hAnsi="arial" w:cs="arial"/>
          <w:b w:val="0"/>
          <w:i/>
          <w:strike w:val="0"/>
          <w:noProof w:val="0"/>
          <w:color w:val="000000"/>
          <w:position w:val="0"/>
          <w:sz w:val="20"/>
          <w:u w:val="none"/>
          <w:vertAlign w:val="baseline"/>
        </w:rPr>
        <w:t>www2.ed.gov/about/offices/list/oii/csp/index.html.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1"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Limit: The application narrative (Part III of the application) is where you, the applicant, address the selection criteria that reviewers use to evaluate your application. We recommend that you limit the application narrative (Part </w:t>
      </w:r>
      <w:r>
        <w:rPr>
          <w:rFonts w:ascii="arial" w:eastAsia="arial" w:hAnsi="arial" w:cs="arial"/>
          <w:b/>
          <w:i w:val="0"/>
          <w:strike w:val="0"/>
          <w:noProof w:val="0"/>
          <w:color w:val="000000"/>
          <w:position w:val="0"/>
          <w:sz w:val="20"/>
          <w:u w:val="none"/>
          <w:vertAlign w:val="baseline"/>
        </w:rPr>
        <w:t> [*34232] </w:t>
      </w:r>
      <w:r>
        <w:rPr>
          <w:rFonts w:ascii="arial" w:eastAsia="arial" w:hAnsi="arial" w:cs="arial"/>
          <w:b w:val="0"/>
          <w:i w:val="0"/>
          <w:strike w:val="0"/>
          <w:noProof w:val="0"/>
          <w:color w:val="000000"/>
          <w:position w:val="0"/>
          <w:sz w:val="20"/>
          <w:u w:val="none"/>
          <w:vertAlign w:val="baseline"/>
        </w:rPr>
        <w:t xml:space="preserve">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15,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The Department will hold a pre-application meeting via Webinar for prospective applicants on June 17, 2015 from 2:00 p.m. to 4:00 p.m., Washington, DC, time. Individuals interested in attending this meeting are encouraged to pre-register by emailing their name, organization, and contact information with the subject heading "SEA PRE-APPLICATION MEETING" to </w:t>
      </w:r>
      <w:hyperlink r:id="rId22"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participating in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Kathryn Meeley, U.S. Department of Education, 400 Maryland Avenue SW., Room 4W257, Washington, DC 20202-5970. Telephone: (202) 453-6818 or by email: </w:t>
      </w:r>
      <w:hyperlink r:id="rId21"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 funds must be used to carry out allowable activities, as described in section 5204(f) of the ESEA (</w:t>
      </w:r>
      <w:hyperlink r:id="rId23" w:history="1">
        <w:r>
          <w:rPr>
            <w:rFonts w:ascii="arial" w:eastAsia="arial" w:hAnsi="arial" w:cs="arial"/>
            <w:b w:val="0"/>
            <w:i/>
            <w:strike w:val="0"/>
            <w:noProof w:val="0"/>
            <w:color w:val="0077CC"/>
            <w:position w:val="0"/>
            <w:sz w:val="20"/>
            <w:u w:val="single"/>
            <w:vertAlign w:val="baseline"/>
          </w:rPr>
          <w:t>20 U.S.C. 7221c(f)</w:t>
        </w:r>
      </w:hyperlink>
      <w:r>
        <w:rPr>
          <w:rFonts w:ascii="arial" w:eastAsia="arial" w:hAnsi="arial" w:cs="arial"/>
          <w:b w:val="0"/>
          <w:i w:val="0"/>
          <w:strike w:val="0"/>
          <w:noProof w:val="0"/>
          <w:color w:val="000000"/>
          <w:position w:val="0"/>
          <w:sz w:val="20"/>
          <w:u w:val="none"/>
          <w:vertAlign w:val="baseline"/>
        </w:rPr>
        <w:t xml:space="preserve">). The following funding restrictions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and Implementation Subgrants:</w:t>
      </w:r>
      <w:r>
        <w:rPr>
          <w:rFonts w:ascii="arial" w:eastAsia="arial" w:hAnsi="arial" w:cs="arial"/>
          <w:b w:val="0"/>
          <w:i w:val="0"/>
          <w:strike w:val="0"/>
          <w:noProof w:val="0"/>
          <w:color w:val="000000"/>
          <w:position w:val="0"/>
          <w:sz w:val="20"/>
          <w:u w:val="none"/>
          <w:vertAlign w:val="baseline"/>
        </w:rPr>
        <w:t xml:space="preserve"> An eligible applicant receiving a subgrant under this program may use the subgrant funds only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Post-award planning and design of the educational program, which may include (i) refinement of the desired educational results and of the methods for measuring progress toward achieving those results; and (ii) professional development of teachers and other staff who will work in the charter school;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implementation of the charter school, which may include (i) informing the community about the school; (ii) acquiring necessary equipment and educational materials and supplies; (iii) acquiring or developing curriculum materials; and (iv) other initial operational costs that cannot be met from State or local sources. (</w:t>
      </w:r>
      <w:hyperlink r:id="rId23" w:history="1">
        <w:r>
          <w:rPr>
            <w:rFonts w:ascii="arial" w:eastAsia="arial" w:hAnsi="arial" w:cs="arial"/>
            <w:b w:val="0"/>
            <w:i/>
            <w:strike w:val="0"/>
            <w:noProof w:val="0"/>
            <w:color w:val="0077CC"/>
            <w:position w:val="0"/>
            <w:sz w:val="20"/>
            <w:u w:val="single"/>
            <w:vertAlign w:val="baseline"/>
          </w:rPr>
          <w:t>20 U.S.C. 7221c(f)(3)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Dissemination Subgrants:</w:t>
      </w:r>
      <w:r>
        <w:rPr>
          <w:rFonts w:ascii="arial" w:eastAsia="arial" w:hAnsi="arial" w:cs="arial"/>
          <w:b w:val="0"/>
          <w:i w:val="0"/>
          <w:strike w:val="0"/>
          <w:noProof w:val="0"/>
          <w:color w:val="000000"/>
          <w:position w:val="0"/>
          <w:sz w:val="20"/>
          <w:u w:val="none"/>
          <w:vertAlign w:val="baseline"/>
        </w:rPr>
        <w:t xml:space="preserve"> An SEA may reserve not more than 10 percent of its grant funds to make subgrants to eligible charter schools to carry out dissemination activities. A charter school may use dissemination subgrant funds to assist other schools in adapting the charter school's program (or certain aspects of the charter school's program) or to disseminate information about the charter school through such activities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Assisting other individuals with the planning and start-up of one or more new public schools, including charter schools, that are independent of the assisting charter school and the assisting charter school's developers and that agree to be held to at least as high a level of accountability as the assisting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partnerships with other public schools, including charter schools, designed to improve student academic achievement in each of the schools participating in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curriculum materials, assessments, and other materials that promote increased student achievement and are based on successful practices within the assisting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Conducting evaluations and developing materials that document the successful practices of the assisting charter school and that are designed to improve student achievement.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Basis.</w:t>
      </w:r>
      <w:r>
        <w:rPr>
          <w:rFonts w:ascii="arial" w:eastAsia="arial" w:hAnsi="arial" w:cs="arial"/>
          <w:b w:val="0"/>
          <w:i w:val="0"/>
          <w:strike w:val="0"/>
          <w:noProof w:val="0"/>
          <w:color w:val="000000"/>
          <w:position w:val="0"/>
          <w:sz w:val="20"/>
          <w:u w:val="none"/>
          <w:vertAlign w:val="baseline"/>
        </w:rPr>
        <w:t xml:space="preserve"> In determining whether to approve a grant award and the amount of such award, the Department will consider, among other things, the amount of any unobligated carryover funds the applicant has under an existing CSP grant and the applicant's performance and use of funds under a previous or existing award under any Department program (</w:t>
      </w:r>
      <w:hyperlink r:id="rId24" w:history="1">
        <w:r>
          <w:rPr>
            <w:rFonts w:ascii="arial" w:eastAsia="arial" w:hAnsi="arial" w:cs="arial"/>
            <w:b w:val="0"/>
            <w:i/>
            <w:strike w:val="0"/>
            <w:noProof w:val="0"/>
            <w:color w:val="0077CC"/>
            <w:position w:val="0"/>
            <w:sz w:val="20"/>
            <w:u w:val="single"/>
            <w:vertAlign w:val="baseline"/>
          </w:rPr>
          <w:t>34 CFR 75.233(b)</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75.217(d)(3)(ii)</w:t>
        </w:r>
      </w:hyperlink>
      <w:r>
        <w:rPr>
          <w:rFonts w:ascii="arial" w:eastAsia="arial" w:hAnsi="arial" w:cs="arial"/>
          <w:b w:val="0"/>
          <w:i w:val="0"/>
          <w:strike w:val="0"/>
          <w:noProof w:val="0"/>
          <w:color w:val="000000"/>
          <w:position w:val="0"/>
          <w:sz w:val="20"/>
          <w:u w:val="none"/>
          <w:vertAlign w:val="baseline"/>
        </w:rPr>
        <w:t>). In assessing the applicant's performance and use of funds under a previous or existing award, the Secretary will consider, among other things, the outcomes the applicant has achieved and the results of any Departmental grant monitoring, including the applicant's progress in remedying any deficiencies identified in such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 DUNS number </w:t>
      </w:r>
      <w:r>
        <w:rPr>
          <w:rFonts w:ascii="arial" w:eastAsia="arial" w:hAnsi="arial" w:cs="arial"/>
          <w:b/>
          <w:i w:val="0"/>
          <w:strike w:val="0"/>
          <w:noProof w:val="0"/>
          <w:color w:val="000000"/>
          <w:position w:val="0"/>
          <w:sz w:val="20"/>
          <w:u w:val="none"/>
          <w:vertAlign w:val="baseline"/>
        </w:rPr>
        <w:t> [*34233] </w:t>
      </w:r>
      <w:r>
        <w:rPr>
          <w:rFonts w:ascii="arial" w:eastAsia="arial" w:hAnsi="arial" w:cs="arial"/>
          <w:b w:val="0"/>
          <w:i w:val="0"/>
          <w:strike w:val="0"/>
          <w:noProof w:val="0"/>
          <w:color w:val="000000"/>
          <w:position w:val="0"/>
          <w:sz w:val="20"/>
          <w:u w:val="none"/>
          <w:vertAlign w:val="baseline"/>
        </w:rPr>
        <w:t xml:space="preserve">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84.282A, must be submitted electronically using the Governmentwide Grants.gov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w:t>
      </w:r>
      <w:r>
        <w:rPr>
          <w:rFonts w:ascii="arial" w:eastAsia="arial" w:hAnsi="arial" w:cs="arial"/>
          <w:b/>
          <w:i w:val="0"/>
          <w:strike w:val="0"/>
          <w:noProof w:val="0"/>
          <w:color w:val="000000"/>
          <w:position w:val="0"/>
          <w:sz w:val="20"/>
          <w:u w:val="none"/>
          <w:vertAlign w:val="baseline"/>
        </w:rPr>
        <w:t> [*34234] </w:t>
      </w:r>
      <w:r>
        <w:rPr>
          <w:rFonts w:ascii="arial" w:eastAsia="arial" w:hAnsi="arial" w:cs="arial"/>
          <w:b w:val="0"/>
          <w:i w:val="0"/>
          <w:strike w:val="0"/>
          <w:noProof w:val="0"/>
          <w:color w:val="000000"/>
          <w:position w:val="0"/>
          <w:sz w:val="20"/>
          <w:u w:val="none"/>
          <w:vertAlign w:val="baseline"/>
        </w:rPr>
        <w:t xml:space="preserve">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Kathryn Meeley, U.S. Department of Education, 400 Maryland Avenue SW., Room 4W257,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84.282A,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the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does not consider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in evaluating the application submitted by an SEA in a State that enacted a charter school law for the first time less than five years before the closing date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Accordingly, such an SEA should not address this criterion in its application. To enable the Secretary to determine whether to consider criterion (c), an SEA should provide in its application the date when its State first enacted a charter school law and relevant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an SEA should clearly identify each selection criterion it addresses in its application. The maximum possible score for addressing each selection criterion is indicated in parentheses following the selection criterion. The maximum possible total score (based on the selection criteria and not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100 points, except that, for SEAs in States that first enacted a charter school law less than five years before the closing date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possible total score is 90 points because, as noted above, the Secretary does not consider selection criterion (c) in evaluating applications from these SEAs. The Secretary will convert each SEA's total score (including any additional points received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[*34235] </w:t>
      </w:r>
      <w:r>
        <w:rPr>
          <w:rFonts w:ascii="arial" w:eastAsia="arial" w:hAnsi="arial" w:cs="arial"/>
          <w:b w:val="0"/>
          <w:i w:val="0"/>
          <w:strike w:val="0"/>
          <w:noProof w:val="0"/>
          <w:color w:val="000000"/>
          <w:position w:val="0"/>
          <w:sz w:val="20"/>
          <w:u w:val="none"/>
          <w:vertAlign w:val="baseline"/>
        </w:rPr>
        <w:t xml:space="preserve"> preference priorities) to a percentage of the applicable maximum possible total score and prepare a single rank order list using those percentages. Therefore, SEAs for which the Secretary does not consider selection criterion (c) will not be disadvantaged.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the Secretary considers the following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(15 points) The Secretary considers the quality of the State-level strategy for using charter schools to improve educational outcomes for students throughout the State. In determining the quality of the State-level strategy,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SEA's CSP activities, including the subgrant program, are integrated into the State's overall strategy for improving student academic achievement and attainment (including high school graduation rates and college and other postsecondary education enrollment rates) and closing achievement and attainment gaps, and complement or leverage other statewide education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funding equity for charter schools (including equitable funding for charter school facilities) is incorporated into the SEA's State-level strategy;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State encourages local strategies for improving student academic achievement and attainment that involve charter schools, including but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Collaboration, including the sharing of data and promising instructional and other practices, between charter schools and other public schools or providers of early learning and development programs or alternative education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creation of charter schools that would serve as viable options for students who currently attend, or would otherwise attend, the State's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policy context for charter schools under the proposed project. In determining the policy context for charter schools under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of flexibility afforded to charter schools under the State's charter school law,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charter schools in the State are exempt from State or local rules that inhibit the flexible operation and management of public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charter schools in the State have a high degree of autonomy, including autonomy over the charter school's budget, expenditures, staffing, procurement, and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quality of the SEA's processes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Annually informing each charter school in the State about Federal funds the charter school is eligible to receive and Federal programs in which the charter school may participate;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Annually ensuring that each charter school in the State receives, in a timely fashion, the school's commensurate share of Federal funds that are allocated by formula each year, particularly during the first year of operation of the school and during a year in which the school's enrollment expands significantly;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of the SEA's plan to ensure that charter schools that are considered to be LEAs under State law and LEAs in which charter schools are located will comply with sections 613(a)(5) and 613(e)(1)(B) of IDEA (</w:t>
      </w:r>
      <w:hyperlink r:id="rId15"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Age Discrimination Act of 1975 (</w:t>
      </w:r>
      <w:hyperlink r:id="rId3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VI of the Civil Rights Act of 1964 (</w:t>
      </w:r>
      <w:hyperlink r:id="rId31"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IX of the Education Amendments of 1972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504 of the Rehabilitation Act of 1973 (</w:t>
      </w:r>
      <w:hyperlink r:id="rId32"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(10 points) The Secretary considers the past performance of charter schools in a State that enacted a charter school law for the first time five or more years before submission of its application. In determining the past performance of charter schools in such a State,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there has been a demonstrated increase, for each of the past five years, in the number and percentage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 defined in this notice)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there has been a demonstrated reduction, for each of the past five years, in the number and percentage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(as defined in this notice)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and the extent to which, the academic achievement and academic attainment (including high school graduation rates and college and other postsecondary education enrollment rates) of charter school students equal or exceed the academic achievement and academic attainment of similar students in other public schools in the State over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(15 points) The Secretary considers the quality of the SEA's plan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determining the quality of the plan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SEA's charter school subgrant program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Assist students, particularly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meeting and exceeding State academic content standards and State student achievement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Reduce or eliminate achievement gaps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quality of the SEA's plan to ensure that charter schools attract, recruit, admit, enroll, serve, and retain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equitably, meaningfully, and, with regard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who are students with disabilities or English learners, in a manner consistent with, as appropriate, the IDEA (regarding students with disabilities) and civil rights laws, in particular, section 504 of the Rehabilitation Act of 1973, as amended, and title VI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SEA will encourage innovations in charter schools, such as models, policies, supports, or structures, that are designed to improve the academic achievement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quality of the SEA's plan for monitoring all charter schools to ensure compliance with Federal and State laws, particularly laws related to educational equity, nondiscrimination, and access to public schools for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(10 points) The Secretary determines the quality of the statewide vision, including the role of the SEA, for charter school growth and accountability. In determining the quality of the statewide vision,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quality of the SEA's systems for collecting, analyzing, and publicly reporting data on charter school performance, including data on student academic achievement, attainment (including high school graduation rates and college and other postsecondary education enrollment rates), retention, and discipline for all students and disaggregated by student subgroup; </w:t>
      </w:r>
      <w:r>
        <w:rPr>
          <w:rFonts w:ascii="arial" w:eastAsia="arial" w:hAnsi="arial" w:cs="arial"/>
          <w:b/>
          <w:i w:val="0"/>
          <w:strike w:val="0"/>
          <w:noProof w:val="0"/>
          <w:color w:val="000000"/>
          <w:position w:val="0"/>
          <w:sz w:val="20"/>
          <w:u w:val="none"/>
          <w:vertAlign w:val="baseline"/>
        </w:rPr>
        <w:t> [*34236]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ambitiousness, quality of vision, and feasibility of the SEA's plan (including key actions) to support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during the project period, including a reasonable estimate of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at both the beginning and the end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ambitiousness, quality of vision, and feasibility of the SEA's plan (including key actions) to support the closure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in the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revocation, non-renewal, or voluntary termination of a charter) during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context of closing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we remind applicants of the importance of ensuring adherence to applicable laws, policies, and procedures that govern the closure of a charter school, the disposition of its assets, and the transfer of its students and student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(10 points) The Secretary considers the quality of the SEA's plan to disseminate information about charter schools and best or promising practices of successful charter schools to each LEA in the State as well as to charter schools, other public schools, and charter school developers (</w:t>
      </w:r>
      <w:hyperlink r:id="rId14" w:history="1">
        <w:r>
          <w:rPr>
            <w:rFonts w:ascii="arial" w:eastAsia="arial" w:hAnsi="arial" w:cs="arial"/>
            <w:b w:val="0"/>
            <w:i/>
            <w:strike w:val="0"/>
            <w:noProof w:val="0"/>
            <w:color w:val="0077CC"/>
            <w:position w:val="0"/>
            <w:sz w:val="20"/>
            <w:u w:val="single"/>
            <w:vertAlign w:val="baseline"/>
          </w:rPr>
          <w:t>20 U.S.C. 7221b(b)(2)(C)</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7221(c)(f)(6)</w:t>
        </w:r>
      </w:hyperlink>
      <w:r>
        <w:rPr>
          <w:rFonts w:ascii="arial" w:eastAsia="arial" w:hAnsi="arial" w:cs="arial"/>
          <w:b w:val="0"/>
          <w:i w:val="0"/>
          <w:strike w:val="0"/>
          <w:noProof w:val="0"/>
          <w:color w:val="000000"/>
          <w:position w:val="0"/>
          <w:sz w:val="20"/>
          <w:u w:val="none"/>
          <w:vertAlign w:val="baseline"/>
        </w:rPr>
        <w:t>). If an SEA proposes to use a portion of its grant funds for dissemination subgrants under section 5204(f)(6)(B) of the ESEA (</w:t>
      </w:r>
      <w:hyperlink r:id="rId23" w:history="1">
        <w:r>
          <w:rPr>
            <w:rFonts w:ascii="arial" w:eastAsia="arial" w:hAnsi="arial" w:cs="arial"/>
            <w:b w:val="0"/>
            <w:i/>
            <w:strike w:val="0"/>
            <w:noProof w:val="0"/>
            <w:color w:val="0077CC"/>
            <w:position w:val="0"/>
            <w:sz w:val="20"/>
            <w:u w:val="single"/>
            <w:vertAlign w:val="baseline"/>
          </w:rPr>
          <w:t>20 U.S.C. 7221c(f)(6)(B)</w:t>
        </w:r>
      </w:hyperlink>
      <w:r>
        <w:rPr>
          <w:rFonts w:ascii="arial" w:eastAsia="arial" w:hAnsi="arial" w:cs="arial"/>
          <w:b w:val="0"/>
          <w:i w:val="0"/>
          <w:strike w:val="0"/>
          <w:noProof w:val="0"/>
          <w:color w:val="000000"/>
          <w:position w:val="0"/>
          <w:sz w:val="20"/>
          <w:u w:val="none"/>
          <w:vertAlign w:val="baseline"/>
        </w:rPr>
        <w:t>), the SEA should incorporate these subgrants into the overall plan for dissemination. In determining the quality of the SEA's plan to disseminate information about charter schools and best or promising practices of successful charter schools,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 will serve as a leader in the State for identifying and disseminating information and research (which may include, but is not limited to, providing technical assistance) about best or promising practices in successful charter schools, including how the SEA will use measures of efficacy and data in identifying such practices and assessing the impact of its dissemination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quality of the SEA's plan for disseminating information and research on best or promising practices used by, and the benefits of, charter schools that effectively incorporate student body diversity, including racial and ethnic diversity and diversity with respect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consistent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of the SEA's plan for disseminating information and research on best or promising practices in charter schools related to student discipline and school climate;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an SEA that proposes to use a portion of its grant funds to award dissemination subgrants under section 5204(f)(6)(B) of the ESEA (</w:t>
      </w:r>
      <w:hyperlink r:id="rId11" w:history="1">
        <w:r>
          <w:rPr>
            <w:rFonts w:ascii="arial" w:eastAsia="arial" w:hAnsi="arial" w:cs="arial"/>
            <w:b w:val="0"/>
            <w:i/>
            <w:strike w:val="0"/>
            <w:noProof w:val="0"/>
            <w:color w:val="0077CC"/>
            <w:position w:val="0"/>
            <w:sz w:val="20"/>
            <w:u w:val="single"/>
            <w:vertAlign w:val="baseline"/>
          </w:rPr>
          <w:t>20 U.S.C. 7221a(f)(6)(B)</w:t>
        </w:r>
      </w:hyperlink>
      <w:r>
        <w:rPr>
          <w:rFonts w:ascii="arial" w:eastAsia="arial" w:hAnsi="arial" w:cs="arial"/>
          <w:b w:val="0"/>
          <w:i w:val="0"/>
          <w:strike w:val="0"/>
          <w:noProof w:val="0"/>
          <w:color w:val="000000"/>
          <w:position w:val="0"/>
          <w:sz w:val="20"/>
          <w:u w:val="none"/>
          <w:vertAlign w:val="baseline"/>
        </w:rPr>
        <w:t xml:space="preserve">), the quality of the subgrant award process and the likelihood that such dissemination activities will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contribute to improved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(15 points). The Secretary considers the quality of the SEA's plan (including any use of grant administrative or other funds) to monitor, evaluate, assist, and hold accountable authorized public chartering agencies. In determining the quality of the SEA's plan to provide oversight to authorized public chartering agencies, the Secretary considers how well the SEA's plan will ensure that authorized public chartering agencies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Seeking and approving charter school petitions from developers that have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Approving charter school petitions with design elements that incorporate evidence-based school models and practices, including, but not limited to, school models and practices that focus on racial and ethnic diversity in student bodies and diversity in student bodies with respect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consistent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Establishing measureable academic and operational performance expectations for all charter schools (including alternative charter schools, virtual charter schools, and charter schools that include pre-kindergarten, if such schools exist in the State) that are consistent with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Monitoring their charter schools on at least an annual basis, including conducting an in-depth review of each charter school at least once every five years, to ensure that charter schools are meeting the terms of their charter or performance contracts and complying with applicable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Using increases in student academic achievement as one of the most important factors in renewal decisions; basing renewal decisions on a comprehensive set of criteria, which are set forth in the charter or performance contract; and revoking, not renewing, or encouraging the voluntary termination of charters held by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Providing, on an annual basis, public reports on the performance of their portfolios of charter schools, including the performance of each individual charter school with respect to meeting the terms of, and expectations set forth in, the school's charter or performance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Supporting charter school autonomy while holding charter schools accountable for results and meeting the terms of their charters or performance contracts;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Ensuring the continued accountability of charter schools during any transition to new State assessments or accountability systems, including those based on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Management Plan and Theory of Action.</w:t>
      </w:r>
      <w:r>
        <w:rPr>
          <w:rFonts w:ascii="arial" w:eastAsia="arial" w:hAnsi="arial" w:cs="arial"/>
          <w:b w:val="0"/>
          <w:i w:val="0"/>
          <w:strike w:val="0"/>
          <w:noProof w:val="0"/>
          <w:color w:val="000000"/>
          <w:position w:val="0"/>
          <w:sz w:val="20"/>
          <w:u w:val="none"/>
          <w:vertAlign w:val="baseline"/>
        </w:rPr>
        <w:t xml:space="preserve"> (10 points) The Secretary considers the quality of the management plan and the project's theory of action. In determining the quality of the management plan and the project's theory of action,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quality, including the cohesiveness and strength of reasoning, of the logic model (as defined in </w:t>
      </w:r>
      <w:hyperlink r:id="rId16"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and the extent to which it addresses the role of the grant in promoting the State-level strategy for using charter schools to improve educational outcomes for students through CSP subgrants for planning, program design, and initial implementation; optional dissemination subgrants; optional revolving loan funds; and other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SEA's project-specific performance measures, including any measures required by the Department, support the logic model;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the management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Achieve the objectives of the proposed project on time and within budget, including the existence of clearly defined responsibilities, timelines, and milestones for accomplishing project tasks;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Address any compliance issues or findings related to the CSP that are identified in an audit or other monitoring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propose a comprehensive management plan and theory of action for assessing the achievement of the objectives, including developing performance measures and performance targets for its proposed grant project that are consistent with those </w:t>
      </w:r>
      <w:r>
        <w:rPr>
          <w:rFonts w:ascii="arial" w:eastAsia="arial" w:hAnsi="arial" w:cs="arial"/>
          <w:b/>
          <w:i w:val="0"/>
          <w:strike w:val="0"/>
          <w:noProof w:val="0"/>
          <w:color w:val="000000"/>
          <w:position w:val="0"/>
          <w:sz w:val="20"/>
          <w:u w:val="none"/>
          <w:vertAlign w:val="baseline"/>
        </w:rPr>
        <w:t> [*34237] </w:t>
      </w:r>
      <w:r>
        <w:rPr>
          <w:rFonts w:ascii="arial" w:eastAsia="arial" w:hAnsi="arial" w:cs="arial"/>
          <w:b w:val="0"/>
          <w:i w:val="0"/>
          <w:strike w:val="0"/>
          <w:noProof w:val="0"/>
          <w:color w:val="000000"/>
          <w:position w:val="0"/>
          <w:sz w:val="20"/>
          <w:u w:val="none"/>
          <w:vertAlign w:val="baseline"/>
        </w:rPr>
        <w:t xml:space="preserve"> objectives. The applicant should clearly identify the project-specific performance measures and performance targets in its plan and should review the logic model application requirement and performance measures section of this notice for information on the requirements for developing those performance measures and performance targets consistent with the objectives of the proposed project. The applicant may choose to include a discussion of the project-specific performance measures and targets it develops in response to the logic model requirement when addressing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(10 points) The Secretary considers the quality of the design of the SEA's charter school subgrant program, including the extent to which the project design furthers the SEA's overall strategy for increasing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improving student academic achievement. In determining the quality of the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of the SEA's process for awarding subgrants for planning, program design, and initial implementation and, if applicable, for dissemination,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subgrant application and peer review process, timelines for these processes, and how the SEA intends to ensure that subgrants will be awarded to eligible applicants demonstrating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reasonable year-by-year estimate, with supporting evidence, of (a) the number of subgrants the SEA expects to award during the project period and the average size of those subgrants, including an explanation of any assumptions upon which the estimates are based; and (b) if the SEA has previously received a CSP grant, the percentage of eligible applicants that were awarded subgrants and how this percentage related to the overall quality of the applicant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process for monitoring CSP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How the SEA will create a portfolio of subgrantees that focuses on areas of need within the State, such as increasing student body diversity or maintaining a high level of student body diversity, and how this focus aligns with the </w:t>
      </w:r>
      <w:r>
        <w:rPr>
          <w:rFonts w:ascii="arial" w:eastAsia="arial" w:hAnsi="arial" w:cs="arial"/>
          <w:b w:val="0"/>
          <w:i/>
          <w:strike w:val="0"/>
          <w:noProof w:val="0"/>
          <w:color w:val="000000"/>
          <w:position w:val="0"/>
          <w:sz w:val="20"/>
          <w:u w:val="none"/>
          <w:vertAlign w:val="baseline"/>
        </w:rPr>
        <w:t>State-Level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steps the SEA will take to inform teachers, parents, and communities of the SEA's charter school subgrant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any requested waivers of statutory or regulatory provisions over which the Secretary exercises administrative authority and the extent to which those waivers will, if granted, further the objectives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also may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current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 (GPRA Measures).</w:t>
      </w:r>
      <w:r>
        <w:rPr>
          <w:rFonts w:ascii="arial" w:eastAsia="arial" w:hAnsi="arial" w:cs="arial"/>
          <w:b w:val="0"/>
          <w:i w:val="0"/>
          <w:strike w:val="0"/>
          <w:noProof w:val="0"/>
          <w:color w:val="000000"/>
          <w:position w:val="0"/>
          <w:sz w:val="20"/>
          <w:u w:val="none"/>
          <w:vertAlign w:val="baseline"/>
        </w:rPr>
        <w:t xml:space="preserve"> The goal of the CSP is to support the creation and development of high-quality charter schools that are free from State or local rules that inhibit flexible operation, are held accountable for enabling students to reach challenging State performance standards, and are open to all students. The Secretary has established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proposed project. Applications must provide the following information as directed under </w:t>
      </w:r>
      <w:hyperlink r:id="rId43"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performance measure (as defined in this notice)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baseline (as defined in this notice) is valid; or (ii) If the applicant has determined that there are no established baseline data for a particular </w:t>
      </w:r>
      <w:r>
        <w:rPr>
          <w:rFonts w:ascii="arial" w:eastAsia="arial" w:hAnsi="arial" w:cs="arial"/>
          <w:b/>
          <w:i w:val="0"/>
          <w:strike w:val="0"/>
          <w:noProof w:val="0"/>
          <w:color w:val="000000"/>
          <w:position w:val="0"/>
          <w:sz w:val="20"/>
          <w:u w:val="none"/>
          <w:vertAlign w:val="baseline"/>
        </w:rPr>
        <w:t> [*34238] </w:t>
      </w:r>
      <w:r>
        <w:rPr>
          <w:rFonts w:ascii="arial" w:eastAsia="arial" w:hAnsi="arial" w:cs="arial"/>
          <w:b w:val="0"/>
          <w:i w:val="0"/>
          <w:strike w:val="0"/>
          <w:noProof w:val="0"/>
          <w:color w:val="000000"/>
          <w:position w:val="0"/>
          <w:sz w:val="20"/>
          <w:u w:val="none"/>
          <w:vertAlign w:val="baseline"/>
        </w:rPr>
        <w:t xml:space="preserve">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performance target (as defined in this notice) is ambitious (as defined in this notice),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consider developing project-specific performance measures and targets tied to their grant activities as well as to student academic achievement during the grant period. The project-specific performance measures should be sufficient to gauge the progress throughout the grant period, show results by the end of the grant period, and be included in the logic model as outlined in the Application Requirements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w:t>
      </w:r>
      <w:r>
        <w:rPr>
          <w:rFonts w:ascii="arial" w:eastAsia="arial" w:hAnsi="arial" w:cs="arial"/>
          <w:b w:val="0"/>
          <w:i w:val="0"/>
          <w:strike w:val="0"/>
          <w:noProof w:val="0"/>
          <w:color w:val="000000"/>
          <w:position w:val="0"/>
          <w:sz w:val="20"/>
          <w:u w:val="none"/>
          <w:vertAlign w:val="baseline"/>
        </w:rPr>
        <w:t xml:space="preserve">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their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at a location to be determined in the continental United States during each year of the project. Applicants may include the cost of attending this meeting in their proposed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June 17, 2015, 2:00 p.m. to 4:00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14,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1"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2015-14392 Filed 6-12-15;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34228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S0-F610-008H-02VG-00000-00&amp;context=" TargetMode="External" /><Relationship Id="rId11" Type="http://schemas.openxmlformats.org/officeDocument/2006/relationships/hyperlink" Target="https://advance.lexis.com/api/document?collection=statutes-legislation&amp;id=urn:contentItem:4YF7-GNC1-NRF4-43C1-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statutes-legislation&amp;id=urn:contentItem:4YF7-GHK1-NRF4-42BR-00000-00&amp;context=" TargetMode="External" /><Relationship Id="rId14" Type="http://schemas.openxmlformats.org/officeDocument/2006/relationships/hyperlink" Target="https://advance.lexis.com/api/document?collection=statutes-legislation&amp;id=urn:contentItem:4YF7-GS41-NRF4-44H9-00000-00&amp;context=" TargetMode="External" /><Relationship Id="rId15" Type="http://schemas.openxmlformats.org/officeDocument/2006/relationships/hyperlink" Target="https://advance.lexis.com/api/document?collection=statutes-legislation&amp;id=urn:contentItem:4YF7-GNB1-NRF4-4325-00000-00&amp;context=" TargetMode="External" /><Relationship Id="rId16" Type="http://schemas.openxmlformats.org/officeDocument/2006/relationships/hyperlink" Target="https://advance.lexis.com/api/document?collection=administrative-codes&amp;id=urn:contentItem:5S7T-7HV0-008H-03HM-00000-00&amp;context=" TargetMode="External" /><Relationship Id="rId17" Type="http://schemas.openxmlformats.org/officeDocument/2006/relationships/hyperlink" Target="https://advance.lexis.com/api/document?collection=statutes-legislation&amp;id=urn:contentItem:4YF7-GRV1-NRF4-41PC-00000-00&amp;context=" TargetMode="External" /><Relationship Id="rId18" Type="http://schemas.openxmlformats.org/officeDocument/2006/relationships/hyperlink" Target="https://advance.lexis.com/api/document?collection=statutes-legislation&amp;id=urn:contentItem:4YF7-GWP1-NRF4-43C2-00000-00&amp;context=" TargetMode="External" /><Relationship Id="rId19" Type="http://schemas.openxmlformats.org/officeDocument/2006/relationships/hyperlink" Target="https://advance.lexis.com/api/document?collection=statutes-legislation&amp;id=urn:contentItem:4YF7-GPC1-NRF4-430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RW6-6GD0-0019-T3N0-00000-00&amp;context=" TargetMode="External" /><Relationship Id="rId21" Type="http://schemas.openxmlformats.org/officeDocument/2006/relationships/hyperlink" Target="mailto:Kathryn.Meeley@ed.gov" TargetMode="External" /><Relationship Id="rId22" Type="http://schemas.openxmlformats.org/officeDocument/2006/relationships/hyperlink" Target="mailto:CharterSchools@ed.gov" TargetMode="External" /><Relationship Id="rId23" Type="http://schemas.openxmlformats.org/officeDocument/2006/relationships/hyperlink" Target="https://advance.lexis.com/api/document?collection=statutes-legislation&amp;id=urn:contentItem:4YF7-GT81-NRF4-401W-00000-00&amp;context=" TargetMode="External" /><Relationship Id="rId24" Type="http://schemas.openxmlformats.org/officeDocument/2006/relationships/hyperlink" Target="https://advance.lexis.com/api/document?collection=administrative-codes&amp;id=urn:contentItem:5GMB-DPB0-008H-026X-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www.SAM.gov" TargetMode="External" /><Relationship Id="rId27" Type="http://schemas.openxmlformats.org/officeDocument/2006/relationships/hyperlink" Target="http://www.grants.gov/web/grants/register.html" TargetMode="External" /><Relationship Id="rId28" Type="http://schemas.openxmlformats.org/officeDocument/2006/relationships/hyperlink" Target="http://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N1-NRF4-445Y-00000-00&amp;context=" TargetMode="External" /><Relationship Id="rId31" Type="http://schemas.openxmlformats.org/officeDocument/2006/relationships/hyperlink" Target="https://advance.lexis.com/api/document?collection=statutes-legislation&amp;id=urn:contentItem:4YF7-GK71-NRF4-431F-00000-00&amp;context=" TargetMode="External" /><Relationship Id="rId32" Type="http://schemas.openxmlformats.org/officeDocument/2006/relationships/hyperlink" Target="https://advance.lexis.com/api/document?collection=statutes-legislation&amp;id=urn:contentItem:4YF7-GVJ1-NRF4-42X8-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s://advance.lexis.com/api/document?collection=administrative-codes&amp;id=urn:contentItem:5GMB-DR10-008H-00WF-00000-00&amp;context=" TargetMode="External" /><Relationship Id="rId44" Type="http://schemas.openxmlformats.org/officeDocument/2006/relationships/hyperlink" Target="https://advance.lexis.com/api/document?collection=administrative-codes&amp;id=urn:contentItem:5GMB-DPB0-008H-02K8-00000-00&amp;context=" TargetMode="External" /><Relationship Id="rId45" Type="http://schemas.openxmlformats.org/officeDocument/2006/relationships/hyperlink" Target="http://www.gpo.gov/fdsys" TargetMode="External" /><Relationship Id="rId46" Type="http://schemas.openxmlformats.org/officeDocument/2006/relationships/hyperlink" Target="http://www.federalregister.gov"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72-5YF0-006W-81HD-00000-00&amp;context=" TargetMode="External" /><Relationship Id="rId8" Type="http://schemas.openxmlformats.org/officeDocument/2006/relationships/hyperlink" Target="https://advance.lexis.com/api/document?collection=cases&amp;id=urn:contentItem:3S04-RPH0-003B-R241-00000-00&amp;context=" TargetMode="External" /><Relationship Id="rId9" Type="http://schemas.openxmlformats.org/officeDocument/2006/relationships/hyperlink" Target="https://advance.lexis.com/api/document?collection=statutes-legislation&amp;id=urn:contentItem:4YF7-GT61-NRF4-454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