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36252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121, Wednesday, June 24,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36252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June 24,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NATIONAL CREDIT UNION ADMINISTRATION (NCUA)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Regulatory Publication and Review Under the Economic Growth and Regulatory Paperwork Reduction Act of 1996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regulatory review; request for comments.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NATIONAL CREDIT UNION ADMINISTRATION (NCUA)</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Chapter VII</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NCUA Board (Board) is continuing its comprehensive review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identify outdated, unnecessary, or burdensome regulatory requirements imposed on federally insured credit unions, as contemplated by section 2222 of the Economic Growth and Regulatory Paperwork Reduction Act of 1996 (EGRPRA). This second decennial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began when the Board issued its first EGRPRA notice on May 22, 2014, covering the two categories of "Applications and Reporting" and "Powers and Activities." The second notice followed, covering the three categories of "Agency Programs," "Capital," and "Consumer Protection," which was published on December 19, 2014. The Board continues the review process with the publication of this third notice, covering the next three categories of rules: "Corporate Credit Unions," "Directors, Officers and Employees," and "Money Laundering." This review presents a significant opportunity to consider the possibilities for burden reduction in groups of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Board welcomes comment on the categories, the order of review, and all other aspects of this initiative in order to maximize the review's effectiveness.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second decennial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began when the Board issued its first EGRPRA notice on May 22, 2014, covering the two categories of "Applications and Reporting" and "Powers and Activities." n1 The second notice followed, covering the three categories of "Agency Programs," "Capital," and "Consumer Protection," which was published on December 19, 2014.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79 FR 32121</w:t>
        </w:r>
      </w:hyperlink>
      <w:r>
        <w:rPr>
          <w:rFonts w:ascii="arial" w:eastAsia="arial" w:hAnsi="arial" w:cs="arial"/>
          <w:b w:val="0"/>
          <w:i w:val="0"/>
          <w:strike w:val="0"/>
          <w:noProof w:val="0"/>
          <w:color w:val="000000"/>
          <w:position w:val="0"/>
          <w:sz w:val="20"/>
          <w:u w:val="none"/>
          <w:vertAlign w:val="baseline"/>
        </w:rPr>
        <w:t xml:space="preserve"> (June 4,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79 FR 79763</w:t>
        </w:r>
      </w:hyperlink>
      <w:r>
        <w:rPr>
          <w:rFonts w:ascii="arial" w:eastAsia="arial" w:hAnsi="arial" w:cs="arial"/>
          <w:b w:val="0"/>
          <w:i w:val="0"/>
          <w:strike w:val="0"/>
          <w:noProof w:val="0"/>
          <w:color w:val="000000"/>
          <w:position w:val="0"/>
          <w:sz w:val="20"/>
          <w:u w:val="none"/>
          <w:vertAlign w:val="baseline"/>
        </w:rPr>
        <w:t xml:space="preserve"> (December 19,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enacted EGRPRA n3 as part of an effort to minimize unnecessary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financial institutions consistent with safety and soundness, consumer protection, and other public policy goals. Under EGRPRA, the appropriate federal banking agencies (Office of the Comptroller of the Currency, Board of Governors of the Federal Reserve System, and Federal Deposit Insurance </w:t>
      </w:r>
      <w:r>
        <w:rPr>
          <w:rFonts w:ascii="arial" w:eastAsia="arial" w:hAnsi="arial" w:cs="arial"/>
          <w:b/>
          <w:i w:val="0"/>
          <w:strike w:val="0"/>
          <w:noProof w:val="0"/>
          <w:color w:val="000000"/>
          <w:position w:val="0"/>
          <w:sz w:val="20"/>
          <w:u w:val="none"/>
          <w:vertAlign w:val="baseline"/>
        </w:rPr>
        <w:t> [*36253] </w:t>
      </w:r>
      <w:r>
        <w:rPr>
          <w:rFonts w:ascii="arial" w:eastAsia="arial" w:hAnsi="arial" w:cs="arial"/>
          <w:b w:val="0"/>
          <w:i w:val="0"/>
          <w:strike w:val="0"/>
          <w:noProof w:val="0"/>
          <w:color w:val="000000"/>
          <w:position w:val="0"/>
          <w:sz w:val="20"/>
          <w:u w:val="none"/>
          <w:vertAlign w:val="baseline"/>
        </w:rPr>
        <w:t xml:space="preserve"> Corporation; herein Agencies n4) and the Federal Financial Institutions Examination Council (FFIEC) must review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identify outdated, unnecessary, or unduly burdensome requirements imposed on insured depository institutions. The Agencies are required, jointly or individually, to categorize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type, such as "consumer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"safety and soundness"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Once the categories have been established, the Agencies must provide notice and ask for public comment on one or more of these regulatory categories.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Pub. L. 104-208</w:t>
      </w:r>
      <w:r>
        <w:rPr>
          <w:rFonts w:ascii="arial" w:eastAsia="arial" w:hAnsi="arial" w:cs="arial"/>
          <w:b w:val="0"/>
          <w:i w:val="0"/>
          <w:strike w:val="0"/>
          <w:noProof w:val="0"/>
          <w:color w:val="000000"/>
          <w:position w:val="0"/>
          <w:sz w:val="20"/>
          <w:u w:val="none"/>
          <w:vertAlign w:val="baseline"/>
        </w:rPr>
        <w:t xml:space="preserve">, Div. A, Title II, section 2222, </w:t>
      </w:r>
      <w:r>
        <w:rPr>
          <w:rFonts w:ascii="arial" w:eastAsia="arial" w:hAnsi="arial" w:cs="arial"/>
          <w:b w:val="0"/>
          <w:i/>
          <w:strike w:val="0"/>
          <w:noProof w:val="0"/>
          <w:color w:val="000000"/>
          <w:position w:val="0"/>
          <w:sz w:val="20"/>
          <w:u w:val="none"/>
          <w:vertAlign w:val="baseline"/>
        </w:rPr>
        <w:t>110 Stat. 3009</w:t>
      </w:r>
      <w:r>
        <w:rPr>
          <w:rFonts w:ascii="arial" w:eastAsia="arial" w:hAnsi="arial" w:cs="arial"/>
          <w:b w:val="0"/>
          <w:i w:val="0"/>
          <w:strike w:val="0"/>
          <w:noProof w:val="0"/>
          <w:color w:val="000000"/>
          <w:position w:val="0"/>
          <w:sz w:val="20"/>
          <w:u w:val="none"/>
          <w:vertAlign w:val="baseline"/>
        </w:rPr>
        <w:t xml:space="preserve"> (1996); codified at </w:t>
      </w:r>
      <w:hyperlink r:id="rId10" w:history="1">
        <w:r>
          <w:rPr>
            <w:rFonts w:ascii="arial" w:eastAsia="arial" w:hAnsi="arial" w:cs="arial"/>
            <w:b w:val="0"/>
            <w:i/>
            <w:strike w:val="0"/>
            <w:noProof w:val="0"/>
            <w:color w:val="0077CC"/>
            <w:position w:val="0"/>
            <w:sz w:val="20"/>
            <w:u w:val="single"/>
            <w:vertAlign w:val="baseline"/>
          </w:rPr>
          <w:t>12 U.S.C. 3311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Office of Thrift Supervision was still in existence at the time EGRPRA was enacted and was included in the listing of Agencies. Since that time, the OTS has been eliminated and its responsibilities have passed to the Agencies and the Consumer Financial Protection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is not technically required to participate in the EGRPRA review process, since NCUA is not an "appropriate Federal banking agency" as specified in EGRPRA. In keeping with the spirit of the law, however, the Board has once again elected to participate in the review process. Thus, NCUA has participated along with the Agencies in the planning process, but has developed its own regulatory categories that are comparable with those developed by the Agencies. Because of the unique circumstances of federally insured credit unions and their members, the Board is issuing a separate notice from the Agencies. NCUA's notice is consistent and comparable with the Agencies' notice, except on issues that are unique to credit unions. One such unique issue, corporate credit unions, is included in this third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objectives of EGRPRA, the Board asks the public to identify areas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outdated, unnecessary, or unduly burdensome. In addition to this third notice, the Board will issue one more notice for comment later on during 2015. The EGRPRA review supplements and complements the reviews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NCUA conducts under other laws and its internal policies.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Interpretive Ruling and Policy Statement (IRPS) 87-2, </w:t>
      </w:r>
      <w:hyperlink r:id="rId11" w:history="1">
        <w:r>
          <w:rPr>
            <w:rFonts w:ascii="arial" w:eastAsia="arial" w:hAnsi="arial" w:cs="arial"/>
            <w:b w:val="0"/>
            <w:i/>
            <w:strike w:val="0"/>
            <w:noProof w:val="0"/>
            <w:color w:val="0077CC"/>
            <w:position w:val="0"/>
            <w:sz w:val="20"/>
            <w:u w:val="single"/>
            <w:vertAlign w:val="baseline"/>
          </w:rPr>
          <w:t>52 FR 35231</w:t>
        </w:r>
      </w:hyperlink>
      <w:r>
        <w:rPr>
          <w:rFonts w:ascii="arial" w:eastAsia="arial" w:hAnsi="arial" w:cs="arial"/>
          <w:b w:val="0"/>
          <w:i w:val="0"/>
          <w:strike w:val="0"/>
          <w:noProof w:val="0"/>
          <w:color w:val="000000"/>
          <w:position w:val="0"/>
          <w:sz w:val="20"/>
          <w:u w:val="none"/>
          <w:vertAlign w:val="baseline"/>
        </w:rPr>
        <w:t xml:space="preserve"> (Sept. 8, 1987) as amended by IRPS 03-2, </w:t>
      </w:r>
      <w:r>
        <w:rPr>
          <w:rFonts w:ascii="arial" w:eastAsia="arial" w:hAnsi="arial" w:cs="arial"/>
          <w:b w:val="0"/>
          <w:i/>
          <w:strike w:val="0"/>
          <w:noProof w:val="0"/>
          <w:color w:val="000000"/>
          <w:position w:val="0"/>
          <w:sz w:val="20"/>
          <w:u w:val="none"/>
          <w:vertAlign w:val="baseline"/>
        </w:rPr>
        <w:t>68 FR 32127</w:t>
      </w:r>
      <w:r>
        <w:rPr>
          <w:rFonts w:ascii="arial" w:eastAsia="arial" w:hAnsi="arial" w:cs="arial"/>
          <w:b w:val="0"/>
          <w:i w:val="0"/>
          <w:strike w:val="0"/>
          <w:noProof w:val="0"/>
          <w:color w:val="000000"/>
          <w:position w:val="0"/>
          <w:sz w:val="20"/>
          <w:u w:val="none"/>
          <w:vertAlign w:val="baseline"/>
        </w:rPr>
        <w:t xml:space="preserve"> (May 29, 2003.) (Reflecting NCUA's commitment to "periodically update, clarify and simplify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eliminate redundant and unnecessary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Board noted in its initial EGRPRA notice, the creation of the Consumer Financial Protection Bureau (CFPB) resulted in the transfer to it of responsibility for certain consumer protection rules that had previously been the responsibility of the Agencies and/or NCUA,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rules governing consumer privacy. Because the CFPB is not covered by EGRPRA or required to participate in this regulatory review process, the Agencies and NCUA excluded certain consumer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scope of the current review.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In addition to rules that have been transferred to the CFPB, insured credit unions are also subject to certain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not required to be reviewed under the EGRPRA process, such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Department of the Treasury's Financial Crimes Enforcement Network. Any comment received during the EGRPRA process that pertains to such a rule will be forwarded to the appropriate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EGRPRA contemplates a two-part regulatory response. First, NCUA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summary of the comments received, identifying and discussing the significant issues raised. Second, the law directs the Agencies to "eliminate unnecessary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that such action is appropriate." As was done during the initial decennial review process, the Board anticipates that it will prepare its response separately from the Agencies, but at around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EGRPRA further requires the FFIEC to submit a report to the Congress within 30 days after NCUA and the Agencies publish the comment summary and analysis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report must summarize any significant issues raised by the public comments and the relative merits of those issues. The report also must analyze whether the appropriate federal financial regulator involved is able to address the regulatory burdens associated with the issues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whether the burdens must be addressed by legislation. The FFIEC report submitted to Congress following the initial decennial EGRPRA review included an Agency section discussing banking sector issues and a separate section devoted to NCUA and credit union issues. It is likely that the FFIEC will follow a similar approach in this second decennial EGRPRA review and report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EGRPRA Review's Special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review contemplated by EGRPRA provides a significant opportunity for the public and the Board to consider groups of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identify possibilities for streamlining. The EGRPRA review's overall focus on the totality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offer a new perspective in identifying opportunities to reduce regulatory burden. For example, the EGRPRA review may facilitate the identification of regulatory requirements that are no longer consistent with the way business is conducted and that therefore might be eliminated. Of course, reducing regulatory burden must be consistent with ensuring the continued safety and soundness of federally insured credit unions and appropriate consumer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EGRPRA also recognizes that burden reduction must be consistent with NCUA's statutory mandates, many of which currently require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of the significant aspects of the EGRPRA review program is the recognition that effective burden reduction in certain areas may require legislative change. The Board will be soliciting comment on, and reviewing the comments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carefully for, the relationship among burden reduction, regulatory requirements, and statutory mandates. This will be a key aspect of the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views the approach of considering the relationship of regulatory and statutory change on regulatory burden, in concert with EGRPRA's provisions calling for grouping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type, to provide the potential for particularly effective burden reduction. The Board believes the EGRPRA review can also significantly contribute to its on-going efforts to reduce regulatory burden. Since 1987, a formally adopted NCUA policy has required the Board to review each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least once every three years with a view toward eliminating, simplifying, or otherwise easing the burden of each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n7 Further, the Board addresses the issue of regulatory burden every time it proposes and adopts a rule. Under the Paperwork Reduction Act of 1995, n8 the Regulatory Flexibility Act, n9 and internal agency policies, NCUA examines each rulemaking to minimize the burdens it might impose on the industry and considers various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IRPS 87-2, </w:t>
      </w:r>
      <w:hyperlink r:id="rId11" w:history="1">
        <w:r>
          <w:rPr>
            <w:rFonts w:ascii="arial" w:eastAsia="arial" w:hAnsi="arial" w:cs="arial"/>
            <w:b w:val="0"/>
            <w:i/>
            <w:strike w:val="0"/>
            <w:noProof w:val="0"/>
            <w:color w:val="0077CC"/>
            <w:position w:val="0"/>
            <w:sz w:val="20"/>
            <w:u w:val="single"/>
            <w:vertAlign w:val="baseline"/>
          </w:rPr>
          <w:t>52 FR 35231</w:t>
        </w:r>
      </w:hyperlink>
      <w:r>
        <w:rPr>
          <w:rFonts w:ascii="arial" w:eastAsia="arial" w:hAnsi="arial" w:cs="arial"/>
          <w:b w:val="0"/>
          <w:i w:val="0"/>
          <w:strike w:val="0"/>
          <w:noProof w:val="0"/>
          <w:color w:val="000000"/>
          <w:position w:val="0"/>
          <w:sz w:val="20"/>
          <w:u w:val="none"/>
          <w:vertAlign w:val="baseline"/>
        </w:rPr>
        <w:t xml:space="preserve"> (Sept. 8, 1987) as amended by IRPS 03-2, </w:t>
      </w:r>
      <w:r>
        <w:rPr>
          <w:rFonts w:ascii="arial" w:eastAsia="arial" w:hAnsi="arial" w:cs="arial"/>
          <w:b w:val="0"/>
          <w:i/>
          <w:strike w:val="0"/>
          <w:noProof w:val="0"/>
          <w:color w:val="000000"/>
          <w:position w:val="0"/>
          <w:sz w:val="20"/>
          <w:u w:val="none"/>
          <w:vertAlign w:val="baseline"/>
        </w:rPr>
        <w:t>68 FR 32127</w:t>
      </w:r>
      <w:r>
        <w:rPr>
          <w:rFonts w:ascii="arial" w:eastAsia="arial" w:hAnsi="arial" w:cs="arial"/>
          <w:b w:val="0"/>
          <w:i w:val="0"/>
          <w:strike w:val="0"/>
          <w:noProof w:val="0"/>
          <w:color w:val="000000"/>
          <w:position w:val="0"/>
          <w:sz w:val="20"/>
          <w:u w:val="none"/>
          <w:vertAlign w:val="baseline"/>
        </w:rPr>
        <w:t xml:space="preserve"> (May 29,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is particularly sensitive to the impact of agency rules on small institutions. In 2013, the Board formally increased the threshold for meeting the "small" classification to having assets of $ 50 million or less. n10 The Board is cognizant that each new 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the potential for requiring significant expenditures of time, effort, and money to achieve compliance, and also that this burden can be particularly </w:t>
      </w:r>
      <w:r>
        <w:rPr>
          <w:rFonts w:ascii="arial" w:eastAsia="arial" w:hAnsi="arial" w:cs="arial"/>
          <w:b/>
          <w:i w:val="0"/>
          <w:strike w:val="0"/>
          <w:noProof w:val="0"/>
          <w:color w:val="000000"/>
          <w:position w:val="0"/>
          <w:sz w:val="20"/>
          <w:u w:val="none"/>
          <w:vertAlign w:val="baseline"/>
        </w:rPr>
        <w:t> [*36254] </w:t>
      </w:r>
      <w:r>
        <w:rPr>
          <w:rFonts w:ascii="arial" w:eastAsia="arial" w:hAnsi="arial" w:cs="arial"/>
          <w:b w:val="0"/>
          <w:i w:val="0"/>
          <w:strike w:val="0"/>
          <w:noProof w:val="0"/>
          <w:color w:val="000000"/>
          <w:position w:val="0"/>
          <w:sz w:val="20"/>
          <w:u w:val="none"/>
          <w:vertAlign w:val="baseline"/>
        </w:rPr>
        <w:t xml:space="preserve"> difficult for institutions of smaller asset size, with fewer resources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In February 2015, the Board proposed raising the threshold again, this time to $ 100 million. </w:t>
      </w:r>
      <w:hyperlink r:id="rId13" w:history="1">
        <w:r>
          <w:rPr>
            <w:rFonts w:ascii="arial" w:eastAsia="arial" w:hAnsi="arial" w:cs="arial"/>
            <w:b w:val="0"/>
            <w:i/>
            <w:strike w:val="0"/>
            <w:noProof w:val="0"/>
            <w:color w:val="0077CC"/>
            <w:position w:val="0"/>
            <w:sz w:val="20"/>
            <w:u w:val="single"/>
            <w:vertAlign w:val="baseline"/>
          </w:rPr>
          <w:t>80 FR 11954</w:t>
        </w:r>
      </w:hyperlink>
      <w:r>
        <w:rPr>
          <w:rFonts w:ascii="arial" w:eastAsia="arial" w:hAnsi="arial" w:cs="arial"/>
          <w:b w:val="0"/>
          <w:i w:val="0"/>
          <w:strike w:val="0"/>
          <w:noProof w:val="0"/>
          <w:color w:val="000000"/>
          <w:position w:val="0"/>
          <w:sz w:val="20"/>
          <w:u w:val="none"/>
          <w:vertAlign w:val="baseline"/>
        </w:rPr>
        <w:t xml:space="preserve"> (Mar. 5, 2015). The Board has not yet taken final action with respect to the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Board's Proposed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EGRPRA contemplates the categorization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"type." During the initial decennial review, the Board developed and published for comment ten categories for NCUA's rules, including some that had been issued jointly with the Agencies. The Board believes these initial categories worked well for the purpose of presenting a framework for the review and so has retained them for this second review. n11 The categories, in alphabetical order, are: Agency Programs; Applications and Reporting; Capital; Consumer Protection; Corporate Credit Unions; Directors, Officers and Employees; Money Laundering; Powers and Activities; Rules of Procedure; and Safety and Soundness. As noted above, some of the rules in the consumer protection category are now under CFPB's jurisdiction and administration, and those affected rules have been eliminated. Any rules adopted for the first time since 2006 have been included in the appropriate category. n12 Rules still in proposed form are not included in this review; commenters may be sure that comments submitted directly in response to proposed rules will be given due consideration within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Consistent with EGRPRA's focus on reducing burden on insured credit unions, the Board has not included internal, organizational or operational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review.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minimal, if any, burden on insured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Commenters should note, in this respect, that for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only recently gone into effect, some passage of time may be necessary before the burden associated with the regulatory requirements can be fully and properly 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Board noted during the initial decennial review, although there are other possible ways of categorizing its rules, these ten categories "are logical groupings that are not so broad such that the number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presented in any one category would overwhelm potential commenters. The categories also reflect recognized areas of industry interest and specialization or are particularly critical to the health of the credit union system." As was also noted during the initial review, 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lending, pertain to more than one category and are included in all applicable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remains convinced that publishing its rules for public comment separately from the Agencies is the most effective method for achieving EGRPRA's burden reduction goals for federally insured credit unions. Owing to differences in the credit union system as compared to the banking system, there is not a direct, category by category, correlation between NCUA's rules and those of the Agencies. For example, credit unions deal with issues such as membership, credit union service organizations, and corporate credit unions, all of which are unique to credit union operations. Similarly, certain categories identified by the Agencies have limited or no applicability in the credit union sector, such as community reinvestment, international operations, and securities. The categories developed by the Board and the Agencies reflect these differences. The Board intends to maintain comparability with the Agencies' notices to the extent there is overlap or similarity in the issues and the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conclusion of the comment period for each EGRPRA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Board will review the comments it has received and decide whether further action is appropriate with respect to the categories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in that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has prepared two charts to assist public understanding of the organization of its review. The first chart, set forth at Section V.A. below, presents the three categories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which NCUA is requesting burden reduction recommendations in this notice. The three categories are shown in the left column. In the middle column are the subject matters that fall within the categories and in the far right column are the regulatory citations. The second chart, set forth at Section V.B. below, presents the remaining two categories in alphabetical order in a similar format.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Request for Burden Reduction Recommendations About the Categories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"Corporate Credit Unions," "Directors, Officers, and Employees," and "Money Laundering"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seeks public comment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the following three categories--"Corporate Credit Unions," "Directors, Officers, and Employees," and "Money Laundering"-- that may impose outdated, unnecessary, or unduly burdensome regulatory requirements on federally insured credit unions. Comments that cite particular provisions or language, and provide reasons why such provisions should be changed, would be most helpful to NCUA's review efforts. Suggested alternative provisions or language, where appropriate, would also be helpful. If the implementation of a comment would require modifying a statute that underlies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comment should, if possible, identify the needed statutory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issues for commenters to consider. While all comments related to any aspect of the EGRPRA review are welcome, the Board specifically invites comment on the following issues: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Need and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categories fulfill current needs? Has industry or other circumstances changed since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written such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 longer necessary? Have there been shifts within the industry or consumer actions that suggest a re-focus of the underlying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any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categories impose burdens not required by their authorizing statutes?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for statutory change. Do the statutes impose unnecessary requirements? Are any of the statutory requirements underlying these categories redundant, conflicting or otherwise unduly burdensome? If so, how should the statutes be amended?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Overarching approaches/flexibility of the regulatory standards. Generally, is there a different approach to regulating that the Board could use that would achieve statutory goals while imposing less burden? Do any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categories or the statutes underlying them impose unnecessarily inflexible requirements?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 any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categories or the statutes underlying them create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for credit unions compared to another part of the financial services industry? If so, how should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amended?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Reporting, recordkeeping and disclosure requirements. Do any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categories or the statutes underlying them impose particularly burdensome reporting, recordkeeping or disclosure requirements? Are any of these requirements similar enough in purpose and use so that they could be consolidated? What, if any, of these requirements could be fulfilled electronically to reduce their burden? Please provide specific recommendations.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Consistency and redundancy. Do any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categories impose inconsistent or redundant regulatory requirements that are not warranted by the circumstances?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Clarity. Are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categories and the underlying statutes drafted in clear and easily understood language? Are there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underlying statutes that need clarification?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Scope of rules. Is the scope of each rule in these categories consistent with the intent of the underlying statute(s)? </w:t>
      </w:r>
      <w:r>
        <w:rPr>
          <w:rFonts w:ascii="arial" w:eastAsia="arial" w:hAnsi="arial" w:cs="arial"/>
          <w:b/>
          <w:i w:val="0"/>
          <w:strike w:val="0"/>
          <w:noProof w:val="0"/>
          <w:color w:val="000000"/>
          <w:position w:val="0"/>
          <w:sz w:val="20"/>
          <w:u w:val="none"/>
          <w:vertAlign w:val="baseline"/>
        </w:rPr>
        <w:t> [*36255] </w:t>
      </w:r>
      <w:r>
        <w:rPr>
          <w:rFonts w:ascii="arial" w:eastAsia="arial" w:hAnsi="arial" w:cs="arial"/>
          <w:b w:val="0"/>
          <w:i w:val="0"/>
          <w:strike w:val="0"/>
          <w:noProof w:val="0"/>
          <w:color w:val="000000"/>
          <w:position w:val="0"/>
          <w:sz w:val="20"/>
          <w:u w:val="none"/>
          <w:vertAlign w:val="baseline"/>
        </w:rPr>
        <w:t xml:space="preserve"> Could we amend the scope of a rule to clarify its applicability or to reduce the burden, while remaining faithful to statutory intent? If so, specify which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should be clarified.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Burden on small insured institutions. The Board has a particular interest in minimizing burden on small insured credit unions (those with less than $ 50 million in assets). NCUA solicits comment on whether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these categories should be continued without change, amended or rescinded in order to minimize any significant economic impact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on a substantial number of small federally insured credit unions.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46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About Which Burden Reduction Recommendations Are Requested</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Credit</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credit unions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Unions</w:t>
            </w:r>
          </w:p>
        </w:tc>
        <w:tc>
          <w:tcPr>
            <w:tcW w:w="46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Directors,</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and lines of credit to officials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701.21(d).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Officers, and</w:t>
            </w:r>
          </w:p>
        </w:tc>
        <w:tc>
          <w:tcPr>
            <w:tcW w:w="46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46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Reimbursement, insurance,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701.33.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indemnification of officials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Retirement benefits for employees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officials interlock</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Fidelity bond and insurance coverage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authorities and duties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credit union directors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Golden parachutes and indemnification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Money Laundering</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of crimes or suspected crimes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748.1.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 Secrecy Act</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748.2.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46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V.B.--Categories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About Which NCUA Will Seek Comment Later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of Procedure</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Liquidation (involuntary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709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Uniform rules of practice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rules of practice and procedure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Soundness</w:t>
            </w:r>
          </w:p>
        </w:tc>
        <w:tc>
          <w:tcPr>
            <w:tcW w:w="46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Supervisory committee audit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programs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Guidelines for safeguarding member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responding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Appendices A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unauthorized access to member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preservation program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 retention appendix</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Appraisals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722.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Liquidity and contingency funding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741.12.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codified elsewhere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NCUA's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as applying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credit unions that also apply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federally insured state-chartered</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unions</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National Credit Union Administration Board on June 18,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Gerard Poliquin,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2015-15472 Filed 6-23-15;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7535-01-P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 must be received on or before September 22,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any of the following methods (Please send comments by one method only):</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14" w:history="1">
        <w:r>
          <w:rPr>
            <w:rFonts w:ascii="arial" w:eastAsia="arial" w:hAnsi="arial" w:cs="arial"/>
            <w:b w:val="0"/>
            <w:i/>
            <w:strike w:val="0"/>
            <w:noProof w:val="0"/>
            <w:color w:val="0077CC"/>
            <w:position w:val="0"/>
            <w:sz w:val="20"/>
            <w:u w:val="single"/>
            <w:vertAlign w:val="baseline"/>
          </w:rPr>
          <w:t>http://www.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NCUA Web site: </w:t>
      </w:r>
      <w:hyperlink r:id="rId15" w:history="1">
        <w:r>
          <w:rPr>
            <w:rFonts w:ascii="arial" w:eastAsia="arial" w:hAnsi="arial" w:cs="arial"/>
            <w:b w:val="0"/>
            <w:i/>
            <w:strike w:val="0"/>
            <w:noProof w:val="0"/>
            <w:color w:val="0077CC"/>
            <w:position w:val="0"/>
            <w:sz w:val="20"/>
            <w:u w:val="single"/>
            <w:vertAlign w:val="baseline"/>
          </w:rPr>
          <w:t>http://www.ncua.gov/</w:t>
        </w:r>
      </w:hyperlink>
      <w:hyperlink r:id="rId15" w:history="1">
        <w:r>
          <w:rPr>
            <w:rFonts w:ascii="arial" w:eastAsia="arial" w:hAnsi="arial" w:cs="arial"/>
            <w:b/>
            <w:i/>
            <w:strike w:val="0"/>
            <w:noProof w:val="0"/>
            <w:color w:val="0077CC"/>
            <w:position w:val="0"/>
            <w:sz w:val="20"/>
            <w:u w:val="single"/>
            <w:vertAlign w:val="baseline"/>
          </w:rPr>
          <w:t>RegulationsOpinionsLaws</w:t>
        </w:r>
      </w:hyperlink>
      <w:hyperlink r:id="rId15" w:history="1">
        <w:r>
          <w:rPr>
            <w:rFonts w:ascii="arial" w:eastAsia="arial" w:hAnsi="arial" w:cs="arial"/>
            <w:b w:val="0"/>
            <w:i/>
            <w:strike w:val="0"/>
            <w:noProof w:val="0"/>
            <w:color w:val="0077CC"/>
            <w:position w:val="0"/>
            <w:sz w:val="20"/>
            <w:u w:val="single"/>
            <w:vertAlign w:val="baseline"/>
          </w:rPr>
          <w:t>/proposed_regs/proposed_regs.html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Address to </w:t>
      </w:r>
      <w:hyperlink r:id="rId16" w:history="1">
        <w:r>
          <w:rPr>
            <w:rFonts w:ascii="arial" w:eastAsia="arial" w:hAnsi="arial" w:cs="arial"/>
            <w:b w:val="0"/>
            <w:i/>
            <w:strike w:val="0"/>
            <w:noProof w:val="0"/>
            <w:color w:val="0077CC"/>
            <w:position w:val="0"/>
            <w:sz w:val="20"/>
            <w:u w:val="single"/>
            <w:vertAlign w:val="baseline"/>
          </w:rPr>
          <w:t>regcomments@ncua.gov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"[Your name] Comments on Regulatory Review pursuant to EGRPRA" in the email subject line.</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(703) 518-6319. Use the subject line described above for email.</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Address to Gerard Poliquin, Secretary of the Board, National Credit Union Administration, 1775 Duke Street, Alexandria, Virginia 22314-3428.</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Same as mail address.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Inspection:</w:t>
      </w:r>
      <w:r>
        <w:rPr>
          <w:rFonts w:ascii="arial" w:eastAsia="arial" w:hAnsi="arial" w:cs="arial"/>
          <w:b w:val="0"/>
          <w:i w:val="0"/>
          <w:strike w:val="0"/>
          <w:noProof w:val="0"/>
          <w:color w:val="000000"/>
          <w:position w:val="0"/>
          <w:sz w:val="20"/>
          <w:u w:val="none"/>
          <w:vertAlign w:val="baseline"/>
        </w:rPr>
        <w:t xml:space="preserve"> All public comments are available on the agency's Web site at </w:t>
      </w:r>
      <w:hyperlink r:id="rId17" w:history="1">
        <w:r>
          <w:rPr>
            <w:rFonts w:ascii="arial" w:eastAsia="arial" w:hAnsi="arial" w:cs="arial"/>
            <w:b w:val="0"/>
            <w:i/>
            <w:strike w:val="0"/>
            <w:noProof w:val="0"/>
            <w:color w:val="0077CC"/>
            <w:position w:val="0"/>
            <w:sz w:val="20"/>
            <w:u w:val="single"/>
            <w:vertAlign w:val="baseline"/>
          </w:rPr>
          <w:t>http://www.ncua.gov/Legal/Regs/Pages/PropRegs.aspx</w:t>
        </w:r>
      </w:hyperlink>
      <w:r>
        <w:rPr>
          <w:rFonts w:ascii="arial" w:eastAsia="arial" w:hAnsi="arial" w:cs="arial"/>
          <w:b w:val="0"/>
          <w:i w:val="0"/>
          <w:strike w:val="0"/>
          <w:noProof w:val="0"/>
          <w:color w:val="000000"/>
          <w:position w:val="0"/>
          <w:sz w:val="20"/>
          <w:u w:val="none"/>
          <w:vertAlign w:val="baseline"/>
        </w:rPr>
        <w:t xml:space="preserve"> as submitted, except as may not be possible for technical reasons. Public comments will not be edited to remove any identifying or contact information. Paper copies of comments may be inspected in NCUA's law library at 1775 Duke Street, Alexandria, Virginia 22314, by appointment weekdays between 9:00 a.m. and 3:00 p.m. To make an appointment, call (703) 518-6546 or send an email to </w:t>
      </w:r>
      <w:hyperlink r:id="rId18" w:history="1">
        <w:r>
          <w:rPr>
            <w:rFonts w:ascii="arial" w:eastAsia="arial" w:hAnsi="arial" w:cs="arial"/>
            <w:b w:val="0"/>
            <w:i/>
            <w:strike w:val="0"/>
            <w:noProof w:val="0"/>
            <w:color w:val="0077CC"/>
            <w:position w:val="0"/>
            <w:sz w:val="20"/>
            <w:u w:val="single"/>
            <w:vertAlign w:val="baseline"/>
          </w:rPr>
          <w:t>OGCMail@ncua.gov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Ross P. Kendall, Special Counsel to the General Counsel, at the above address, or telephone: (703) 518-6562.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36252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G1-NRF4-408S-00000-00&amp;context=" TargetMode="External" /><Relationship Id="rId11" Type="http://schemas.openxmlformats.org/officeDocument/2006/relationships/hyperlink" Target="https://advance.lexis.com/api/document?collection=administrative-codes&amp;id=urn:contentItem:3SDR-XTG0-001J-X1J1-00000-00&amp;context=" TargetMode="External" /><Relationship Id="rId12" Type="http://schemas.openxmlformats.org/officeDocument/2006/relationships/hyperlink" Target="https://advance.lexis.com/api/document?collection=statutes-legislation&amp;id=urn:contentItem:4YF7-GNM1-NRF4-408K-00000-00&amp;context=" TargetMode="External" /><Relationship Id="rId13" Type="http://schemas.openxmlformats.org/officeDocument/2006/relationships/hyperlink" Target="https://advance.lexis.com/api/document?collection=administrative-codes&amp;id=urn:contentItem:5FFB-M8P0-006W-8031-00000-00&amp;context=" TargetMode="External" /><Relationship Id="rId14" Type="http://schemas.openxmlformats.org/officeDocument/2006/relationships/hyperlink" Target="http://www.regulations.gov" TargetMode="External" /><Relationship Id="rId15" Type="http://schemas.openxmlformats.org/officeDocument/2006/relationships/hyperlink" Target="http://www.ncua.gov/RegulationsOpinionsLaws/proposed_regs/proposed_regs.html" TargetMode="External" /><Relationship Id="rId16" Type="http://schemas.openxmlformats.org/officeDocument/2006/relationships/hyperlink" Target="mailto:regcomments@ncua.gov" TargetMode="External" /><Relationship Id="rId17" Type="http://schemas.openxmlformats.org/officeDocument/2006/relationships/hyperlink" Target="http://www.ncua.gov/Legal/Regs/Pages/PropRegs.aspx" TargetMode="External" /><Relationship Id="rId18" Type="http://schemas.openxmlformats.org/officeDocument/2006/relationships/hyperlink" Target="mailto:OGCMail@ncua.gov" TargetMode="Externa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91-21H0-006W-82V4-00000-00&amp;context=" TargetMode="External" /><Relationship Id="rId8" Type="http://schemas.openxmlformats.org/officeDocument/2006/relationships/hyperlink" Target="https://advance.lexis.com/api/document?collection=administrative-codes&amp;id=urn:contentItem:5CBP-MDV0-006W-82NT-00000-00&amp;context=" TargetMode="External" /><Relationship Id="rId9" Type="http://schemas.openxmlformats.org/officeDocument/2006/relationships/hyperlink" Target="https://advance.lexis.com/api/document?collection=administrative-codes&amp;id=urn:contentItem:5DYP-G5B0-006W-843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16648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71556554</vt:lpwstr>
  </property>
  <property fmtid="{D5CDD505-2E9C-101B-9397-08002B2CF9AE}" pid="3" name="LADocCount">
    <vt:lpwstr>1</vt:lpwstr>
  </property>
  <property fmtid="{D5CDD505-2E9C-101B-9397-08002B2CF9AE}" pid="4" name="UserPermID">
    <vt:lpwstr>urn:user:PA185916758</vt:lpwstr>
  </property>
</Properties>
</file>