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43462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140, Wednesday, July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43462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Entercom Communications Corp. and Lincoln Financial Media Company;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Entercom Communications Corp. and Lincoln Financial Media Company,</w:t>
      </w:r>
      <w:r>
        <w:rPr>
          <w:rFonts w:ascii="arial" w:eastAsia="arial" w:hAnsi="arial" w:cs="arial"/>
          <w:b w:val="0"/>
          <w:i w:val="0"/>
          <w:strike w:val="0"/>
          <w:noProof w:val="0"/>
          <w:color w:val="000000"/>
          <w:position w:val="0"/>
          <w:sz w:val="20"/>
          <w:u w:val="none"/>
          <w:vertAlign w:val="baseline"/>
        </w:rPr>
        <w:t xml:space="preserve"> Civil Action No. Case 1:15-cv-01119-RC. On July 14, 2015, the United States filed a Complaint alleging that Entercom Communications Corp.'s acquisition of Lincoln Financial Media Company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advertising on English-language broadcast radio stations in the Denver, Colorado metro area,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on the same day as the Complaint, resolves the case by requiring Entercom to divest certain broadcast radio stations in Denver, Colorado.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filed by the United States describes the Complaint, the proposed Final Judgment,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http://www.usdoj.gov/atr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David Kully,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4000, Washington, DC 20530 (telephone: 202-305-9969).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III Section, 450 Fifth Street NW., 4th Floor,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401 E. City Avenue, Suite 809, Bala Cynwyd, Pennsylvania 19004,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Lincoln Financial Media Company, 3340 Peachtree Rd. NE., Suite 1430, Atlanta, Georgia 30326,</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1:15-cv-01119-RC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07/14/15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action to enjoin the proposed acquisition of Lincoln Financial Media Company ("Lincoln") by Entercom Communications Corp. ("Entercom"), and to obtain other equitable relief. The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radio advertising to advertisers targeting English-language listeners in the Denver, Colorado Metro Survey Area ("Denver MSA"),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By agreement, as amended and restated, dated December 7, 2014, between Lincoln National Life Insurance Company and Entercom, Entercom agreed to acquire Lincoln in a cash-and-stock deal for $ 105 million. Lincoln National Life Insurance Company is a subsidiary of Lincoln National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Entercom and Lincoln own and operate broadcast radio stations in various locations throughout the United States, including a number of stations in Denver, Colorado. Entercom's and Lincoln's broadcast radio stations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the business of local and national companies that seek to advertise on English-language broadcast radio stations in Denver, Colorado.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As alleged in greater detail below, the proposed acquisition would eliminate this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Denver MSA and result in advertisers paying higher prices for radio advertising time in that market. Therefore, the proposed acquisition violates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Entercom and Lincoln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Court has subject-matter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Entercom and Lincoln are engaged in interstate commerce and in activities substantially affecting interstate commerce. They own and operate broadcast radio stations in various locations throughout the United States and sell radio advertising for those stations. Their radio advertising sales have had a substantial effect upon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Entercom transacts business and is found in the District of Columbia and has also consented to venue in this District. Lincoln has consented to venue in this District. Venue is therefore proper in this District for both Entercom and Lincoln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Entercom and Lincoln have also consented to personal jurisdiction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Entercom, organized under the laws of Pennsylvania, with headquarters in Bala Cynwyd, Pennsylvania, is one of the largest radio broadcast companies in the United States. It has a nationwide portfolio of over 100 stations in 23 metropolitan areas. In 2014, Entercom reported net revenues of approximately $ 380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Lincoln is an indirect, wholly owned subsidiary of Lincoln National Corporation. Lincoln is organized under the laws of North Carolina, with headquarters in Atlanta, Georgia. Lincoln owns and operates 15 broadcast radio stations in four metropolitan areas. In 2014, Lincoln had net revenues of approximately $ 69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relevant market for Section 7 of the Clayton Act is the sale of radio advertising time to advertisers targeting English-language listeners in the Denver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Entercom and Lincoln sell radio advertising time to local and national advertisers that target English-language listeners in the Denver MSA. An MSA is a geographical unit for which Nielsen Audio, a company that surveys radio listeners, furnishes radio stations, advertisers, and advertising agencies in a particular area with data to aid in evaluating radio audiences. MSAs are widely accepted by radio stations, advertisers, and advertising agencies as the standard geographic area to use in evaluating radio audience size and demographic composition. A radio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radio stations, to attract listening audiences that have certain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Entercom and Lincoln radio stations in the Denver MSA generate almost all of their revenues by selling advertising time to local and national advertisers who want to reach listeners in the Denver MSA. Advertising placed on radio stations in an MSA is aimed at reaching listening audiences in that MSA, and radio stations outside that MSA do not provide effective access to these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Many local and national advertisers purchase radio advertising time because they find such advertising valuable, either by itself or as a complement to advertising on other media platforms. Reasons for this include the fact that radio advertising may be more cost-efficient and effective than other media at reaching the advertiser's target audience (individuals most likely to purchase the advertiser's products or services). In addition, radio stations offer certain services or promotional opportunities to advertisers that advertisers cannot obtain as effectively using other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Many local and national advertisers also consider English-language radio to be particularly effective or necessary to reach their desired customers. These advertisers consider English-language radio, either alone or as a complement to other media, to be the most effective way to reach their target audience, and do not consider other media, including non-English-language radio, such as Spanish-language radio, for example, to be a reasonable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If there were a small but significant and non-transitory increase in the price ("SSNIP") of radio advertising time on English-language stations in the Denver MSA, advertisers would not reduce their purchases sufficiently to render the price increase unprofitable. Advertisers would not switch enough purchases of advertising time to radio stations outside the MSA, to other media, or to non-English-language stations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 addition, radio stations negotiate prices individually with advertisers; consequently, radio stations can charge different advertisers different prices. Radio stations generally can identify advertisers with strong preferences to advertise on radio in their MSAs. Because of this ability to price discriminate among customers, radio stations may charge higher prices to advertisers that view radio in their MSA as particularly effective for their needs, while maintaining lower prices for more price-sensitive advertisers. As a result, Entercom and Lincoln could profitably raise prices to those advertisers that view English-language radio targeting listeners in the Denver MSA as a necessary advertising medium.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Radio station ownership in the Denver MSA is highly concentrated. Entercom's and Lincoln's combined advertising revenue shares exceed 37 percent for English-language broadcast radio stations in the Denver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As articulated in the Horizontal Merger Guidelines issued by the Department of Justice and the Federal Trade Commission, the Herfindahl-Hirschman Index ("HHI") is a measure of market concentration. n1 Market concentration is often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harming consumers. Mergers resulting in highly concentrated markets (with an HHI in excess of 2,500) that involve an increase in the HHI of more than 200 points are presumed to be likely to enhance market power under the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U.S. Dep't of Justice, Horizontal Merger Guidelines § 5.3 (2010), available at </w:t>
      </w:r>
      <w:hyperlink r:id="rId15" w:history="1">
        <w:r>
          <w:rPr>
            <w:rFonts w:ascii="arial" w:eastAsia="arial" w:hAnsi="arial" w:cs="arial"/>
            <w:b w:val="0"/>
            <w:i/>
            <w:strike w:val="0"/>
            <w:noProof w:val="0"/>
            <w:color w:val="0077CC"/>
            <w:position w:val="0"/>
            <w:sz w:val="20"/>
            <w:u w:val="single"/>
            <w:vertAlign w:val="baseline"/>
          </w:rPr>
          <w:t>http://www.justice.gov/atr/public/guidelines/hmg-2010.html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It approaches zero when a market is occupied by a large number of firms of relatively equal size and reaches a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Concentration in the Denver MSA would increase significantly as a result of the proposed acquisition. The post-acquisition HHI in the Denver MSA would be over 3,500 for English-language broadcast radio stations. That HHI is well above the 2,500 threshold at which the Department normally considers a market to be highly concentrated. Entercom's proposed acquisition of Lincoln would result in a substantial increase in the HHI set forth above in excess of the 200 points presumed to be anticompetitive under the merger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Advertisers that use radio to reach their target audiences select radio stations on which to advertise based upon a number of factors including, among others, the size and demographic composition of a station's audience, and the geographic reach of a station's </w:t>
      </w:r>
      <w:r>
        <w:rPr>
          <w:rFonts w:ascii="arial" w:eastAsia="arial" w:hAnsi="arial" w:cs="arial"/>
          <w:b/>
          <w:i w:val="0"/>
          <w:strike w:val="0"/>
          <w:noProof w:val="0"/>
          <w:color w:val="000000"/>
          <w:position w:val="0"/>
          <w:sz w:val="20"/>
          <w:u w:val="none"/>
          <w:vertAlign w:val="baseline"/>
        </w:rPr>
        <w:t> [*43464] </w:t>
      </w:r>
      <w:r>
        <w:rPr>
          <w:rFonts w:ascii="arial" w:eastAsia="arial" w:hAnsi="arial" w:cs="arial"/>
          <w:b w:val="0"/>
          <w:i w:val="0"/>
          <w:strike w:val="0"/>
          <w:noProof w:val="0"/>
          <w:color w:val="000000"/>
          <w:position w:val="0"/>
          <w:sz w:val="20"/>
          <w:u w:val="none"/>
          <w:vertAlign w:val="baseline"/>
        </w:rPr>
        <w:t xml:space="preserve"> broadcast signal. Many advertisers seek to reach a large percentage of their target audiences by selecting those stations whose listening audience is highly correlated to their target audience. If a number of stations broadcasting in the same MSA efficiently reach a target audience, advertisers benefit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those stations to offer better prices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Entercom and Lincoln, each of which operates highly rated radio stations in the Denver MSA, are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English-language listeners in the Denver MSA. Moreover, Entercom and Lincoln each have multiple stations in the Denver MSA that seek to appeal to and attract the same listening audiences. For many local and national advertisers buying radio advertising time in the Denver MSA, the Entercom and Lincoln stations are close substitutes for each other based upon their specific audience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During individual price negotiations between advertisers and radio stations, advertisers often provide the stations with information about their advertising needs, including their target audience and the desired frequency and timing of ads. Radio stations have the ability to charge advertisers differing rates based in part on the number and attractiveness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radio stations that can meet a particular advertiser's specific target needs. During negotiations, advertisers that desire to reach a certain target audience and certain reach and frequency goals in the Denver MSA can gain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by "playing off" Entercom stations, individually and collectively, against Lincoln stations, individually and collectively. The proposed acquisition would end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Post-acquisition, if Entercom raised prices or lowered services to those advertisers that buy advertising time on the Entercom and Lincoln stations in the Denver MSA, non-Entercom stations in that MSA, risking a significant loss of their existing audiences, would be unlikely to change their formats to attempt to attract the Entercom stations' audiences. Even if one or more non-Entercom stations changed their format, they would be unlikely to attract in a timely manner enough listeners to make a price increase or service reduction unprofitable for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entry of new radio stations into the Denver MSA would not be timely, likely, or sufficient to deter the exercise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effect of the proposed acquisition of Lincoln by Entercom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interstate trade and commerce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United States hereby repeats and realleges the allegations of paragraphs 1 through 23 as if fully set forth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Entercom's proposed acquisition of Lincoln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and would likely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advertising time on English-language radio stations in the Denver MSA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Denver MSA between Entercom and Lincoln in the sale of radio advertising time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advertising time on English-language radio stations in the Denver MSA would likely increase, and the quality of services would likely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the proposed acquisition to violate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the Court permanently enjoin and restrain the Defendants from carrying out the proposed acquisition or from entering into or carrying out any other agreement, understanding, or plan by which Lincoln would be acquired by, acquire, or merge with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award the United States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such other relief to the United States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Deputy 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 Kully (DC Bar # 448763)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Merva (DC Bar # 451743)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Litigation III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4th Floor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Telephone: (202) 616-1398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 514-7308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mark.merva@usdoj.gov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and LINCOLN FINANCIAL MEDIA COMPANY,</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1:15-cv-01119-RC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07/14/15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 Entercom Communications Corp. ("Entercom") and Lincoln National Life Insurance Company, a subsidiary of Lincoln National Corporation, entered into a Purchase Agreement, as amended and restated, dated December 7, 2014, pursuant to which Entercom would acquire Defendant Lincoln Financial Media Company ("Lincoln") for $ 105 million. Entercom's and Lincoln's broadcast radio stations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the business of local and national companies that seek to advertise on English-language broadcast radio stations in the Denver, Colorado Metro Survey Area ("MSA").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July 14, 2015 seeking to enjoin the proposed acquisition. The Complaint alleges that the acquisition's likely effect would be to increase English-language broadcast radio advertising prices in the Denver MSA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proposed acquisition. The proposed Final Judgment, which is explained more fully below, requires Defendants to divest the following broadcast radio stations (the "Divestiture Stations") to an Acquirer approved by the United States in a manner that preserves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Denver MSA: KOSI FM, KKFN FM, and KYGO FM. These three broadcast radio stations are </w:t>
      </w:r>
      <w:r>
        <w:rPr>
          <w:rFonts w:ascii="arial" w:eastAsia="arial" w:hAnsi="arial" w:cs="arial"/>
          <w:b/>
          <w:i w:val="0"/>
          <w:strike w:val="0"/>
          <w:noProof w:val="0"/>
          <w:color w:val="000000"/>
          <w:position w:val="0"/>
          <w:sz w:val="20"/>
          <w:u w:val="none"/>
          <w:vertAlign w:val="baseline"/>
        </w:rPr>
        <w:t> [*43465] </w:t>
      </w:r>
      <w:r>
        <w:rPr>
          <w:rFonts w:ascii="arial" w:eastAsia="arial" w:hAnsi="arial" w:cs="arial"/>
          <w:b w:val="0"/>
          <w:i w:val="0"/>
          <w:strike w:val="0"/>
          <w:noProof w:val="0"/>
          <w:color w:val="000000"/>
          <w:position w:val="0"/>
          <w:sz w:val="20"/>
          <w:u w:val="none"/>
          <w:vertAlign w:val="baseline"/>
        </w:rPr>
        <w:t xml:space="preserve"> located in Denver, Colorado. The Hold Separate requires Defendants to take certain steps to ensure that the Divestiture Stations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uninfluenced by Entercom so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until the required divestitures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Entercom is incorporated in Pennsylvania, with its headquarters in Bala Cynwyd, Pennsylvania. Entercom owns and operates a nationwide portfolio of over 100 broadcast radio stations in 23 metropolitan areas, including the Denver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Lincoln is an indirect, wholly owned subsidiary of Lincoln National Corporation. Lincoln is organized under the laws of North Carolina, with headquarters in Atlanta, Georgia. Lincoln owns and operates 15 broadcast radio stations in four metropolitan areas, including the Denver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agreement, as amended and restated, dated December 7, 2014, between Lincoln National Life Insurance Company and Entercom, Entercom agreed to acquire Lincoln in a cash-and-stock deal for $ 105 million. Lincoln National Life Insurance Company is a subsidiary of Lincoln National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Entercom and Lincoln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against one another for the business of local and national advertisers that seek to purchase radio advertising time that targets English-language listeners located in the Denver MSA. The proposed acquisition would eliminate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Anticompetitive Consequences of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Broadcast Radio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sale of broadcast radio advertising time to advertisers targeting English-language listeners located in the Denver MSA constitutes a relevant product market for analyzing this acquisition under Section 7 of the Clayton Act. Entercom and Lincoln sell radio advertising time to local and national advertisers that seek to target English-language listeners in the Denver MSA. An MSA is a geographical unit for which Nielson Audio, a company that surveys radio listeners, furnishes radio stations, advertisers, and advertising agencies in a particular area with data to aid in evaluating radio audiences. MSAs are widely accepted by radio stations, advertisers, and advertising agencies as the standard geographic area to use in evaluating radio audience size and demographic composition. A radio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radio stations, to attract listening audiences that have certain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Entercom and Lincoln broadcast radio stations in the Denver MSA generate almost all of their revenues by selling advertising time to local and national advertisers who want to reach listeners present in that MSA. Advertising placed on radio stations in an MSA is aimed at reaching listening audiences in that MSA, and radio stations outside that MSA do not provide effective access to these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local and national advertisers purchase radio advertising time because they find such advertising valuable, either by itself or as a complement to advertising on other media platforms. For such advertisers, radio time (a) may be less expensive and more cost-efficient than other media in reaching the advertiser's target audience (individuals most likely to purchase the advertiser's products or services); or (b) may offer promotional opportunities to advertisers that they cannot replicate as effectively using other media. For these and other reasons, many local and national advertisers who purchase radio advertising time view radio as a necessary advertising medium for them or as a necessary advertising complement to other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local and national advertisers also consider English-language radio to be particularly effective or necessary to reach their desired customers. These advertisers consider English-language radio, either alone or as a complement to other media, to be the most effective way to reach their target audience, and do not consider other media, including non-English-language radio, such as Spanish-language radio, for example, to be a reasonable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were a small but significant and non-transitory increase in the price ("SSNIP") on radio advertising time on English-language stations in the Denver MSA, advertisers would not reduce their purchases sufficiently to render the price increase unprofitable. Advertisers would not switch enough purchases of advertising time to radio stations outside the MSA, to other media, or to non-English-language stations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radio stations negotiate prices individually with advertisers; consequently, radio stations can charge different advertisers different prices. Radio stations generally can identify advertisers with strong preferences to advertise on radio in their MSAs. Because of this ability to price discriminate among customers, radio stations may charge higher prices to advertisers that view radio in their MSA as particularly effective for their needs, while maintaining lower prices for more price-sensitive advertisers. As a result, Entercom and Lincoln could profitably raise prices to those advertisers that view English-language radio that targets listeners in the Denver MSA as a necessary advertising medium.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the Denver MSA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radio advertising on English-language radio stations in the Denver MSA would be lessened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broadcast radio stations and Lincoln broadcast radio stations in the sale of broadcast radio advertising in the Denver MSA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prices for advertising time on English-language broadcast radio stations in the Denver MSA likely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by eliminating Lincoln as a separate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combining its operations with Entercom's, would allow Entercom to increase its share of the broadcast radio advertising revenues in the Denver MSA. In the Denver MSA, combining the Entercom and Lincoln broadcast radio stations would give Entercom approximately 37 percent of advertising sales on English-language broadcast radio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Entercom's acquisition of Lincoln also would further concentrate an already highly concentrated broadcast radio market in the Denver MSA. Using the Herfindahl-Hirschman Index ("HHI"), a </w:t>
      </w:r>
      <w:r>
        <w:rPr>
          <w:rFonts w:ascii="arial" w:eastAsia="arial" w:hAnsi="arial" w:cs="arial"/>
          <w:b/>
          <w:i w:val="0"/>
          <w:strike w:val="0"/>
          <w:noProof w:val="0"/>
          <w:color w:val="000000"/>
          <w:position w:val="0"/>
          <w:sz w:val="20"/>
          <w:u w:val="none"/>
          <w:vertAlign w:val="baseline"/>
        </w:rPr>
        <w:t> [*43466] </w:t>
      </w:r>
      <w:r>
        <w:rPr>
          <w:rFonts w:ascii="arial" w:eastAsia="arial" w:hAnsi="arial" w:cs="arial"/>
          <w:b w:val="0"/>
          <w:i w:val="0"/>
          <w:strike w:val="0"/>
          <w:noProof w:val="0"/>
          <w:color w:val="000000"/>
          <w:position w:val="0"/>
          <w:sz w:val="20"/>
          <w:u w:val="none"/>
          <w:vertAlign w:val="baseline"/>
        </w:rPr>
        <w:t xml:space="preserve"> standard measure of market concentration (defined and explained in Appendix A), the post-acquisition HHI in the Denver MSA would be over 3,500 for English-language broadcast radio stations. Entercom's proposed acquisition of Lincoln would result in a substantial increase in the HHI set forth above in excess of the 200 points presumed likely to enhance market power under the Horizontal Merger Guidelines issued by the Department of Justice and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transaction combines stations and station groups that are close substitutes and vigorous head-to-head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advertisers seeking to reach specific English-language audiences in the Denver MSA. Advertisers select radio stations to reach a large percentage of their target audience based upon a number of factors,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size of the station's audience, the demographic characteristics of its audience, and the geographic reach of a station's broadcast signal. Many advertisers seek to reach a large percentage of their target listeners by selecting those stations whose audience best correlates to their target listeners. Entercom and Lincoln, each of which operates highly rated radio stations in the Denver MSA, are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English-language listeners in the Denver MSA. Moreover, Entercom and Lincoln have multiple stations in the Denver MSA that seek to appeal to and attract the same listening audiences. For many local and national advertisers buying time in the Denver MSA, the Entercom and Lincoln stations are close substitutes for each other based on their specific audience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individual price negotiations between advertisers and radio stations, advertisers often provide the stations with information about their advertising needs, including their target audience and the desired frequency and timing of their advertisements. Radio stations have the ability to charge advertisers differing rates based in part on the number and attractiveness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radio stations that can meet a particular advertiser's audience, reach, and frequency needs. During negotiations, advertisers that desire to reach a certain target audience and certain reach and frequency goals in the Denver MSA can gain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by "playing off" Entercom stations, individually and collectively, against Lincoln stations, individually and collectively. The proposed acquisition would end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Post-acquisition, if Entercom raised prices or lowered services to those advertisers that buy advertising time on the Entercom and Lincoln stations in the Denver MSA, non-Entercom stations in that MSA, risking a significant loss of their existing audiences, would be unlikely to change their formats to attempt to attract the Entercom stations' audiences. Even if one or more non-Entercom stations changed their format, they would be unlikely to attract in a timely manner enough listeners to make a price increase or service reduction unprofitable for Entercom. Finally, the entry of new radio stations into the Denver MSA would not be timely, likely, or sufficient to deter the exercise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these reasons, the Complaint alleges that Entercom's proposed acquisition of Lincoln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sale of radio advertising time to advertisers targeting English-language listeners in the Denver MSA,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Entercom and Lincoln stations in the Denver MSA, and result in increased prices and reduced quality of service for radio advertisers in that MSA, all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the Denver MSA by maintaining the Divestiture Stations as independent,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proposed Final Judgment requires Entercom to divest the following broadcast radio stations located in the Denver MSA to Bonneville International Corporation: KOSI FM, KKFN FM, and KYGO FM. The United States has approved this divestiture buyer.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required Entercom to identify the Acquirer of the Divestiture Stations in order to provide greater certainty and efficiency in the divestiture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II.H of the proposed Final Judgment to cover all assets, tangible or intangible, principally devoted to and necessary for the operation of the Divestiture Stations as viable, ongoing commercial broadcast radio stations. With respect to each Divestiture Station, the divestiture will include assets sufficient to satisfy the United States, in its sole discretion, that such assets can and will be used to operate each station as a viable, ongoing, commercial radio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Divestiture Stations are operated independently from Entercom after the divestiture, Sections IV and XI of the proposed Final Judgment prohibit Defendants from entering into any agreements during the term of the Final Judgment that create a long-term relationship with or any entanglements that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either Defendant and the Acquirer of the Divestiture Stations concerning the Divestiture Assets after the divestiture is completed. Examples of prohibited agreements include agreements to reacquire any part of the Divestiture Assets, agreements to acquire any option to reacquire any part of the Divestiture Assets or to assign the Divestiture Assets to any other person, agreements to enter into any time brokerage agreement, local marketing agreement, joint sales agreement, other cooperative selling arrangement, or shared services agreement, or agreements to conduct other business negotiations jointly with the Acquirer(s) with respect to the Divestiture Assets, or providing financing or guarantees of financing with respect to the Divestiture Assets, during the term of this Final Judgment. The shared services prohibition does not preclude Defendants from continuing or entering into any non-sales-related shared services agreement that is approved in advance by the United States in its sole discretion. The time brokerage agreement prohibition does not preclude Defendants from entering into an agreement pursuant to which Bonneville can begin operating KOSI FM, KKFN FM, and KYGO FM immediately after the Court's approval of the Hold Separate Stipulation and Order in this matter, so long as the agreement with Bonneville expires upon the consummation of a final agreement to divest the Divestiture Assets to Bonneville.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required to take all steps reasonably necessary to accomplish the divestiture quickly and to cooperate with prospective purchasers. Because transferring the broadcast license for each of the Divestiture Stations requires FCC approval, Defendants are specifically required to use their best efforts to obtain all necessary FCC approvals as expeditiously as possible. The divestiture of each of the Divestiture Stations must occur within 90 calendar days after the filing of the Hold Separate Stipulation and Order in this matter, subject to extension during the pendency of any necessary FCC order pertaining to the divestiture. The United States, in its sole discretion, may agree to one or more extensions of this time period not to exceed ninety (90)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Defendants do not accomplish the divestitures the periods </w:t>
      </w:r>
      <w:r>
        <w:rPr>
          <w:rFonts w:ascii="arial" w:eastAsia="arial" w:hAnsi="arial" w:cs="arial"/>
          <w:b/>
          <w:i w:val="0"/>
          <w:strike w:val="0"/>
          <w:noProof w:val="0"/>
          <w:color w:val="000000"/>
          <w:position w:val="0"/>
          <w:sz w:val="20"/>
          <w:u w:val="none"/>
          <w:vertAlign w:val="baseline"/>
        </w:rPr>
        <w:t> [*43467] </w:t>
      </w:r>
      <w:r>
        <w:rPr>
          <w:rFonts w:ascii="arial" w:eastAsia="arial" w:hAnsi="arial" w:cs="arial"/>
          <w:b w:val="0"/>
          <w:i w:val="0"/>
          <w:strike w:val="0"/>
          <w:noProof w:val="0"/>
          <w:color w:val="000000"/>
          <w:position w:val="0"/>
          <w:sz w:val="20"/>
          <w:u w:val="none"/>
          <w:vertAlign w:val="baseline"/>
        </w:rPr>
        <w:t xml:space="preserve"> prescribed in the proposed Final Judgment, the proposed Final Judgment provides that the Court, upon application of the United States, will appoint a trustee selected by the United States to effect the divestitures. If a trustee is appointed, the proposed Final Judgment provides that Entercom will pay all costs and expenses of the trustee. The trustee's commission will be structured to provide an incentive for the trustee based on the price obtained and the speed with which the divestiture is accomplished. After his or her appointment becomes effective, the trustee will file monthly reports with the Court and the United States describing his or her efforts to accomplish the divestiture of any remaining stations. If the divestiture has not been accomplished after 6 months, the trustee and the United States will make recommendations to the Court, which shall enter such orders as appropriate,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15 U.S.C. § "15,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 Kully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 Suite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Defendants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Entercom's acquisition of Lincoln.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English-language broadcast radio advertising in the Denver MSA.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1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w:t>
      </w:r>
      <w:r>
        <w:rPr>
          <w:rFonts w:ascii="arial" w:eastAsia="arial" w:hAnsi="arial" w:cs="arial"/>
          <w:b/>
          <w:i w:val="0"/>
          <w:strike w:val="0"/>
          <w:noProof w:val="0"/>
          <w:color w:val="000000"/>
          <w:position w:val="0"/>
          <w:sz w:val="20"/>
          <w:u w:val="none"/>
          <w:vertAlign w:val="baseline"/>
        </w:rPr>
        <w:t> [*43468] </w:t>
      </w:r>
      <w:r>
        <w:rPr>
          <w:rFonts w:ascii="arial" w:eastAsia="arial" w:hAnsi="arial" w:cs="arial"/>
          <w:b w:val="0"/>
          <w:i w:val="0"/>
          <w:strike w:val="0"/>
          <w:noProof w:val="0"/>
          <w:color w:val="000000"/>
          <w:position w:val="0"/>
          <w:sz w:val="20"/>
          <w:u w:val="none"/>
          <w:vertAlign w:val="baseline"/>
        </w:rPr>
        <w:t xml:space="preserve">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4"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6"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7"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7"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8"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Senator Tunney). Rather, the procedure for the public interest determination is left to the discretion of the court, with the recognition that the court's "scope of review remains sharply proscribed by precedent and the nature of Tunney Act proceedings."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hyperlink r:id="rId28" w:history="1">
        <w:r>
          <w:rPr>
            <w:rFonts w:ascii="arial" w:eastAsia="arial" w:hAnsi="arial" w:cs="arial"/>
            <w:b w:val="0"/>
            <w:i/>
            <w:strike w:val="0"/>
            <w:noProof w:val="0"/>
            <w:color w:val="0077CC"/>
            <w:position w:val="0"/>
            <w:sz w:val="20"/>
            <w:u w:val="single"/>
            <w:vertAlign w:val="baseline"/>
          </w:rPr>
          <w:t>United States v. Mid-Am. Dairymen, Inc., 1977-1 Trade Cas. (CCH) [paragraph] 61,508, at 71,980 (W.D. Mo. 1977)</w:t>
        </w:r>
      </w:hyperlink>
      <w:r>
        <w:rPr>
          <w:rFonts w:ascii="arial" w:eastAsia="arial" w:hAnsi="arial" w:cs="arial"/>
          <w:b w:val="0"/>
          <w:i w:val="0"/>
          <w:strike w:val="0"/>
          <w:noProof w:val="0"/>
          <w:color w:val="000000"/>
          <w:position w:val="0"/>
          <w:sz w:val="20"/>
          <w:u w:val="none"/>
          <w:vertAlign w:val="baseline"/>
        </w:rPr>
        <w:t xml:space="preserve">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93d Cong., 1st Sess.,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determinative materials or documents within the meaning of the APPA that were considered by the United States in formulating the proposed Final Judgment. </w:t>
      </w:r>
      <w:r>
        <w:rPr>
          <w:rFonts w:ascii="arial" w:eastAsia="arial" w:hAnsi="arial" w:cs="arial"/>
          <w:b/>
          <w:i w:val="0"/>
          <w:strike w:val="0"/>
          <w:noProof w:val="0"/>
          <w:color w:val="000000"/>
          <w:position w:val="0"/>
          <w:sz w:val="20"/>
          <w:u w:val="none"/>
          <w:vertAlign w:val="baseline"/>
        </w:rPr>
        <w:t> [*43469]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 (D.C. Bar #451743)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202-616-1398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202-514-7308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Mark.Merva@usdoj.gov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FTC,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ENTERCOM COMMUNICATIONS CORP. and LINCOLN FINANCIAL MEDIA COMPANY</w:t>
      </w:r>
      <w:r>
        <w:rPr>
          <w:rFonts w:ascii="arial" w:eastAsia="arial" w:hAnsi="arial" w:cs="arial"/>
          <w:b w:val="0"/>
          <w:i w:val="0"/>
          <w:strike w:val="0"/>
          <w:noProof w:val="0"/>
          <w:color w:val="000000"/>
          <w:position w:val="0"/>
          <w:sz w:val="20"/>
          <w:u w:val="none"/>
          <w:vertAlign w:val="baseline"/>
        </w:rPr>
        <w:t>,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1:15-cv-01119-RC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07/14/15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the United States of America filed its Complaint on July 14, 2015, and plaintiff and Entercom Communications Corp. ("Entercom") and Lincoln Financial Media Company ("Lincoln"), by their respective attorneys, have consented to the entry of this Final Judgment without trial or adjudication of any issue of fact or law herein, and without this Final Judgment constituting any evidence against or an admission by any party with respect to any issue of law or fact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agreed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and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hereby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each of the parties hereto and over the subject matter of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"Entercom" means defendant Entercom Communications Corp., a Pennsylvania corporation headquartered in Bala Cynwyd, Pennsylvania,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"Lincoln" means defendant Lincoln Financial Media Company, a North Carolina corporation headquartered in Atlanta, Georgia,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"Acquirer" means Bonneville International Corporation, or another entity to which the defendants divest any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"MSA" means Metropolitan Survey Area as defined by A.C. Nielsen Company and used by the </w:t>
      </w:r>
      <w:r>
        <w:rPr>
          <w:rFonts w:ascii="arial" w:eastAsia="arial" w:hAnsi="arial" w:cs="arial"/>
          <w:b w:val="0"/>
          <w:i/>
          <w:strike w:val="0"/>
          <w:noProof w:val="0"/>
          <w:color w:val="000000"/>
          <w:position w:val="0"/>
          <w:sz w:val="20"/>
          <w:u w:val="none"/>
          <w:vertAlign w:val="baseline"/>
        </w:rPr>
        <w:t>Investing in Radio BIA Market Report 2014</w:t>
      </w:r>
      <w:r>
        <w:rPr>
          <w:rFonts w:ascii="arial" w:eastAsia="arial" w:hAnsi="arial" w:cs="arial"/>
          <w:b w:val="0"/>
          <w:i w:val="0"/>
          <w:strike w:val="0"/>
          <w:noProof w:val="0"/>
          <w:color w:val="000000"/>
          <w:position w:val="0"/>
          <w:sz w:val="20"/>
          <w:u w:val="none"/>
          <w:vertAlign w:val="baseline"/>
        </w:rPr>
        <w:t xml:space="preserve"> (1st edition). MSAs are ranked according to the number of households therein and are used by broadcasters, advertisers, and advertising agencies to aid in evaluating radio audience size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"KOSI FM" means the broadcast radio station located in the Denver, Colorado MSA owned by defendant Entercom.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"KKFN FM" means the broadcast radio station located in the Denver, Colorado MSA owned by defendant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"KYGO FM" means the broadcast radio station located in the Denver, Colorado MSA owned by defendant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"Divestiture Assets" means all of the assets, tangible or intangible, principally devoted to and necessary for the operations of KOSI FM, KKFN FM and KYGO FM as viable, ongoing commercial broadcast radio stations, except as otherwise agreed to in writing by the United States Department of Justice, including, but not limited to, all real property (owned or leased) principally devoted to and necessary for the operation of the stations, all broadcast equipment, office equipment, office furniture, fixtures, materials, supplies, and other tangible property principally devoted to and necessary for the operation of the stations; all licenses, permits, authorizations, and applications therefore issued by the Federal Communications Commission ("FCC") and other government agencies related to the stations; all contracts (including programming contracts and rights), agreements, network agreements, leases, and commitments and understandings of Defendants principally devoted to and necessary for the operation of the stations; all trademarks, service marks, trade names, copyrights, patents, slogans, programming materials, and promotional materials relating to the stations; all customer lists, contracts, accounts, and credit records; all logs and other records maintained by Defendants in connection with the stations; and rights (pursuant to a lease or other agreement acceptable to the United States in its sole discretion) to transmission facilities necessary for the operations of KOSI FM, KKFN FM and KYGO FM. </w:t>
      </w:r>
      <w:r>
        <w:rPr>
          <w:rFonts w:ascii="arial" w:eastAsia="arial" w:hAnsi="arial" w:cs="arial"/>
          <w:b/>
          <w:i w:val="0"/>
          <w:strike w:val="0"/>
          <w:noProof w:val="0"/>
          <w:color w:val="000000"/>
          <w:position w:val="0"/>
          <w:sz w:val="20"/>
          <w:u w:val="none"/>
          <w:vertAlign w:val="baseline"/>
        </w:rPr>
        <w:t> [*43470]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Entercom and Lincoln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defendants' Divestiture Assets, they shall require the purchaser to be bound by the provisions of this Final Judgment. Defendants need not obtain such an agreement from the Acquirer(s) of assets divested pursuant to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ninety (90) calendar days after the filing of the Hold Separate Stipulation and Order in this matter, to divest the Divestiture Assets to an Acquirer or Acquirers acceptable to the United States, in its sole discretion. The United States, in its sole discretion, may agree to one or more extensions of this time period not to exceed ninety (90) calendar days in total, and shall notify the Court in such circumstances. With respect to divestiture of the Divestiture Assets by defendants or the trustee appointed pursuant to Section V of this Final Judgment, if applications have been filed with the FCC within the period permitted for divestiture seeking approval to assign or transfer licenses to the Acquirer(s) of the Divestiture Assets, but an order or other dispositive action by the FCC on such applications has not been issued before the end of the period permitted for divestiture, the period shall be extended with respect to divestiture of the Divestiture Assets for which no FCC order has issued no later than ten (10) business days after the order of the FCC consenting to the assignment of the Divestiture Assets to Bonneville has become final. Entercom shall use its best efforts to accomplish the divestitures ordered by this Final Judgment as expeditiously as possible, including using its best efforts to obtain all necessary FCC approvals as expeditiously as possible. This Final Judgment does not limit the FCC's exercise of its regulatory powers and process with respect to the Divestiture Assets. Authorization by the FCC to conduct the divestiture of a Divestiture Asset in a particular manner will not modify any of the requirements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that defendants are attempting to divest assets related to KOSI FM, KKFN FM or KYGO FM to an Acquirer other than Bonneville: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Defendants promptly shall make known, by usual and customary means, the availability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Defendants shall inform any person making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Defendants shall offer to furnish to all bona fide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Acquirer(s) and the United States information relating to the personnel involved in and necessary to the operation or management of the Divestiture Assets to enable the Acquirer(s) to make offers of employment. Defendants shall not interfere with any negotiations by the Acquirer(s) to employ or contract with any employee of any defendant who is involved in and necessary to the operation or management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the Acquirer(s) of the Divestiture Assets to have reasonable access to personnel and to make inspections of the physical facilities of KOSI FM, KKFN FM and KYGO FM;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Entercom shall warrant to the Acquirer(s) that each Divestiture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Entercom shall warrant to the Acquirer(s) that there are no material defects in the environmental, zoning, or other permits pertaining to the operation of each Divestiture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foregoing Sections IV.C through IV.G shall not apply in the event that the acquirer of the Divestiture Assets is Bonneville pursuant to the Asset Exchange Agreement dated as of July 10, 2015, by and among Entercom Radio, LLC, Entercom License, LLC, Entercom Denver, LLC, Entercom California, LLC, and Bonneville International Coprporation, and, as of the Closing, Lincoln Financial Media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 pursuant to Section IV, or by trustee appointed pursuant to Section V of this Final Judgment, shall include the entire Divestiture Assets and be accomplished in such a way as to satisfy the United States, in its sole discretion, that the Divestiture Assets can and will be used by the Acquirer(s) as part of a viable, ongoing commercial radio broadcasting business, and the divestiture of such assets will achieve the purposes of this Final Judgment and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or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commercial radio broadcasting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gives defendants the ability unreasonably to raise any Acquirer's costs, to lower any Acquirer's efficiency, or otherwise to interfere in the ability of any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After the appointment of a Divestiture Trustee becomes effective, only the trustee shall have the right to sell the Divestiture Assets. The Divestiture Trustee shall have the power and authority to accomplish the divestiture to an Acquirer(s) acceptable </w:t>
      </w:r>
      <w:r>
        <w:rPr>
          <w:rFonts w:ascii="arial" w:eastAsia="arial" w:hAnsi="arial" w:cs="arial"/>
          <w:b/>
          <w:i w:val="0"/>
          <w:strike w:val="0"/>
          <w:noProof w:val="0"/>
          <w:color w:val="000000"/>
          <w:position w:val="0"/>
          <w:sz w:val="20"/>
          <w:u w:val="none"/>
          <w:vertAlign w:val="baseline"/>
        </w:rPr>
        <w:t> [*43471] </w:t>
      </w:r>
      <w:r>
        <w:rPr>
          <w:rFonts w:ascii="arial" w:eastAsia="arial" w:hAnsi="arial" w:cs="arial"/>
          <w:b w:val="0"/>
          <w:i w:val="0"/>
          <w:strike w:val="0"/>
          <w:noProof w:val="0"/>
          <w:color w:val="000000"/>
          <w:position w:val="0"/>
          <w:sz w:val="20"/>
          <w:u w:val="none"/>
          <w:vertAlign w:val="baseline"/>
        </w:rPr>
        <w:t xml:space="preserve"> to the United States at such price and on such terms as are then obtainable upon reasonable effort by the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trustee, reasonably necessary in the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trustee on any ground other than the trustee's malfeasance. Any such objections by defendants must be conveyed in writing to the United States and the Divestiture Trustee within ten (10) calendar days after the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conflict-of-interest certifications. The trustee shall account for all monies derived from its sale of the Divestiture Assets and all costs and expenses so incurred. After approval by the Court of the trustee's accounting, including fees for its services yet unpaid and those of any professionals and agents retained by the trustee, all remaining money shall be paid to defendants and the trust shall then be terminated. The compensation of the Divestiture Trustee and any professionals and agents retained by the trustee shall be reasonable in light of the value of the Divestiture Assets and based on a fee arrangement providing the trustee with an incentive based on the price and terms of the divestiture and the speed with which it is accomplished, but timeliness is paramount. If the Divestiture Trustee and defendants are unable to reach agreement on the trustee's or any agents' or consultants' compensation or other terms and conditions of engagement within 14 calendar days of appointment of the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trustee shall have full and complete access to the personnel, books, records, and facilities of the business to be divested, and defendants shall develop financial and other information relevant to such business as the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trustee shall promptly file with the Court a report setting forth (1) the trustee's efforts to accomplish the required divestiture, (2) the reasons, in the trustee's judgment, why the required divestiture has not been accomplished, and (3) the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divestiture(s), the proposed Acquirer(s),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Acquirer(s) or upon objection by the United States, a divestiture proposed under Section IV or Section V </w:t>
      </w:r>
      <w:r>
        <w:rPr>
          <w:rFonts w:ascii="arial" w:eastAsia="arial" w:hAnsi="arial" w:cs="arial"/>
          <w:b/>
          <w:i w:val="0"/>
          <w:strike w:val="0"/>
          <w:noProof w:val="0"/>
          <w:color w:val="000000"/>
          <w:position w:val="0"/>
          <w:sz w:val="20"/>
          <w:u w:val="none"/>
          <w:vertAlign w:val="baseline"/>
        </w:rPr>
        <w:t> [*43472] </w:t>
      </w:r>
      <w:r>
        <w:rPr>
          <w:rFonts w:ascii="arial" w:eastAsia="arial" w:hAnsi="arial" w:cs="arial"/>
          <w:b w:val="0"/>
          <w:i w:val="0"/>
          <w:strike w:val="0"/>
          <w:noProof w:val="0"/>
          <w:color w:val="000000"/>
          <w:position w:val="0"/>
          <w:sz w:val="20"/>
          <w:u w:val="none"/>
          <w:vertAlign w:val="baseline"/>
        </w:rPr>
        <w:t xml:space="preserve">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of this Final Judgment, defendants shall deliver to the United States an affidavit as to the fact and manner of their compliance with Section IV or V of this Final Judgment. Each such affidavit shall include the name, address, and telephone number of each person who, during the preceding thirty (30)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and complete the sale of the Divestiture Assets, including efforts to secure FCC or other regulatory approvals,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limitations on information, shall be made within fourteen (14)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each defendant shall deliver to the United States an affidavit that describes in reasonable detail all actions defendants have taken and all steps defendants have implemented on an ongoing basis to comply with Section VIII of this Final Judgment. Each such affidavit shall also include a description of the efforts defendants have taken to complete the sale of the Divestiture Assets, including efforts to secure FCC or other regulatory approvals.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the Hold Separate Stipulation and Order, or of determining whether the Final Judgment should be modified or vacated, and subject to any legally recognized privilege, from time to time duly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copies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 REACQUISITION OR OTHER 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Divestiture Assets have been divested to an Acquirer or Acquirers acceptable to the United States in its sole discretion, Defendants may not (1) reacquire any part of the Divestiture Assets, (2) acquire any option to reacquire any part of the Divestiture Assets or to assign the Divestiture Assets to any other person, (3) enter into any time brokerage agreement, local marketing agreement, joint sales agreement, other cooperative selling arrangement, or shared services agreement, or conduct other business negotiations jointly with the Acquirer(s) with respect to the Divestiture Assets, or (4) provide financing or guarantees of financing with respect to the Divestiture Assets, during the term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shared services prohibition does not preclude defendants from continuing or entering into any non-sales-related shared services agreement that is approved in advance by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defendants reach an agreement to divest the Divestiture Assets to the Acquirer, defendants may also enter into an agreement, approved in advance by the United States in its sole discretion, under which a defendant cedes to the Acquirer the sole right and ability to operate one or more of KOSI FM, KKFN FM and KYGO FM after the Court's approval of the Hold Separate Stipulation and Order in this matter, provided that any such time brokerage agreement (as well as any time brokerage agreement between a defendant and the Acquirer relating to any other broadcast radio stations in the Denver MSA) must expire upon the </w:t>
      </w:r>
      <w:r>
        <w:rPr>
          <w:rFonts w:ascii="arial" w:eastAsia="arial" w:hAnsi="arial" w:cs="arial"/>
          <w:b/>
          <w:i w:val="0"/>
          <w:strike w:val="0"/>
          <w:noProof w:val="0"/>
          <w:color w:val="000000"/>
          <w:position w:val="0"/>
          <w:sz w:val="20"/>
          <w:u w:val="none"/>
          <w:vertAlign w:val="baseline"/>
        </w:rPr>
        <w:t> [*43473] </w:t>
      </w:r>
      <w:r>
        <w:rPr>
          <w:rFonts w:ascii="arial" w:eastAsia="arial" w:hAnsi="arial" w:cs="arial"/>
          <w:b w:val="0"/>
          <w:i w:val="0"/>
          <w:strike w:val="0"/>
          <w:noProof w:val="0"/>
          <w:color w:val="000000"/>
          <w:position w:val="0"/>
          <w:sz w:val="20"/>
          <w:u w:val="none"/>
          <w:vertAlign w:val="baseline"/>
        </w:rPr>
        <w:t xml:space="preserve"> termination of a final agreement to divest the Divestiture Assets to the Acquirer or upon the consummation of a final agreement to divest the Divestiture Assets to the Acquirer.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responses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2015-17992 Filed 7-21-15;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43462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doj.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www.justice.gov/atr/public/guidelines/hmg-2010.html" TargetMode="External" /><Relationship Id="rId16" Type="http://schemas.openxmlformats.org/officeDocument/2006/relationships/hyperlink" Target="mailto:mark.merva@usdoj.gov" TargetMode="External" /><Relationship Id="rId17" Type="http://schemas.openxmlformats.org/officeDocument/2006/relationships/hyperlink" Target="https://advance.lexis.com/api/document?collection=cases&amp;id=urn:contentItem:3RTP-83N0-001T-D0C7-00000-00&amp;context=" TargetMode="External" /><Relationship Id="rId18" Type="http://schemas.openxmlformats.org/officeDocument/2006/relationships/hyperlink" Target="https://advance.lexis.com/api/document?collection=cases&amp;id=urn:contentItem:4NCK-65B0-TVT3-D3DR-00000-00&amp;context=" TargetMode="External" /><Relationship Id="rId19" Type="http://schemas.openxmlformats.org/officeDocument/2006/relationships/hyperlink" Target="https://advance.lexis.com/api/document?collection=cases&amp;id=urn:contentItem:4X85-40M0-TXFP-H38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8S0-001B-K1MJ-00000-00&amp;context=" TargetMode="External" /><Relationship Id="rId21" Type="http://schemas.openxmlformats.org/officeDocument/2006/relationships/hyperlink" Target="https://advance.lexis.com/api/document?collection=cases&amp;id=urn:contentItem:3S4X-16H0-0039-W1PJ-00000-00&amp;context=" TargetMode="External" /><Relationship Id="rId22" Type="http://schemas.openxmlformats.org/officeDocument/2006/relationships/hyperlink" Target="https://advance.lexis.com/api/document?collection=cases&amp;id=urn:contentItem:44N5-9DK0-0038-Y4CW-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94T-VD60-0038-Y0P1-00000-00&amp;context=" TargetMode="External" /><Relationship Id="rId25" Type="http://schemas.openxmlformats.org/officeDocument/2006/relationships/hyperlink" Target="https://advance.lexis.com/api/document?collection=cases&amp;id=urn:contentItem:3S4V-KH30-0054-6289-00000-00&amp;context=" TargetMode="External" /><Relationship Id="rId26" Type="http://schemas.openxmlformats.org/officeDocument/2006/relationships/hyperlink" Target="https://advance.lexis.com/api/document?collection=cases&amp;id=urn:contentItem:3S4X-53H0-003B-S0M5-00000-00&amp;context=" TargetMode="External" /><Relationship Id="rId27" Type="http://schemas.openxmlformats.org/officeDocument/2006/relationships/hyperlink" Target="https://advance.lexis.com/api/document?collection=cases&amp;id=urn:contentItem:40T2-X8J0-0038-Y2SJ-00000-00&amp;context=" TargetMode="External" /><Relationship Id="rId28" Type="http://schemas.openxmlformats.org/officeDocument/2006/relationships/hyperlink" Target="https://advance.lexis.com/api/document?collection=cases&amp;id=urn:contentItem:3S4N-V3J0-0054-72HT-00000-00&amp;context=" TargetMode="Externa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H0-F7K0-006W-80T6-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43462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