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46961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151, Thursday, August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46961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Demonstration and Training: Career Pathways for Individuals With Disabilities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Demonstration and Training: Career Pathways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84.235N.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Demonstration and Training Program is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or enter into contracts with, eligible entities to expand and improve rehabilitation and other services authorized under the Rehabilitation Act of 1973, as amended (Rehabilitation Act), or to further the purposes and policies in sections 2(b) and 2(c) of the Rehabilitation Act by supporting activities that increase the provision, extent, availability, and scope, as well as improve the quality of rehabilitation services under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notice includes one absolute priority. This priority is from the notice of final priority for this program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Pathways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full text of this priority is included in the notice of final priority for this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29 U.S.C. 773(b)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34 CFR part 373. (e)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only to institutions of higher education (IHEs).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$ 3,500,000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$ 575,000-$ 875,000.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$ 725,000.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$ 875,000 for a single budget period of 12 months. The Assistant Secretary for Special Education and Rehabilitative Services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Continuing the Fourth and Fifth Years of the Project:</w:t>
      </w:r>
      <w:r>
        <w:rPr>
          <w:rFonts w:ascii="arial" w:eastAsia="arial" w:hAnsi="arial" w:cs="arial"/>
          <w:b w:val="0"/>
          <w:i w:val="0"/>
          <w:strike w:val="0"/>
          <w:noProof w:val="0"/>
          <w:color w:val="000000"/>
          <w:position w:val="0"/>
          <w:sz w:val="20"/>
          <w:u w:val="none"/>
          <w:vertAlign w:val="baseline"/>
        </w:rPr>
        <w:t xml:space="preserve"> In deciding whether to continue funding the projects awarded through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fourth and fifth years, the Department, as part of the review of the application narrative and annual performance reports, will consider the degree to which the projects demonstrate substantial progress toward their goals and objectives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number of distinct career pathways accessed and/or created through the project, and the recognized postsecondary credentials and occupational clusters in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number of eligible individuals who entered each career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number of eligible individuals who attained one or more recognized secondary or postsecondary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number of eligible individuals who achieved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each career pathway; and </w:t>
      </w:r>
      <w:r>
        <w:rPr>
          <w:rFonts w:ascii="arial" w:eastAsia="arial" w:hAnsi="arial" w:cs="arial"/>
          <w:b/>
          <w:i w:val="0"/>
          <w:strike w:val="0"/>
          <w:noProof w:val="0"/>
          <w:color w:val="000000"/>
          <w:position w:val="0"/>
          <w:sz w:val="20"/>
          <w:u w:val="none"/>
          <w:vertAlign w:val="baseline"/>
        </w:rPr>
        <w:t> [*46962]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corresponding weekly wage and employer benefits received by these individuals.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State VR agency or State VR agencies applying as a group in accordance with </w:t>
      </w:r>
      <w:hyperlink r:id="rId10" w:history="1">
        <w:r>
          <w:rPr>
            <w:rFonts w:ascii="arial" w:eastAsia="arial" w:hAnsi="arial" w:cs="arial"/>
            <w:b w:val="0"/>
            <w:i/>
            <w:strike w:val="0"/>
            <w:noProof w:val="0"/>
            <w:color w:val="0077CC"/>
            <w:position w:val="0"/>
            <w:sz w:val="20"/>
            <w:u w:val="single"/>
            <w:vertAlign w:val="baseline"/>
          </w:rPr>
          <w:t>34 CFR 75.128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Cost sharing of 10 percent of the total cost of the project is required of grantees under the Demonstration and Training Program. Any program income that may be incurred during the period of performance may only be directed towards advancing activities in the approved grant application and may not be used towards the 10 percent match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 To obtain a copy via the Internet, use the following address: </w:t>
      </w:r>
      <w:hyperlink r:id="rId11"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84.235N.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Page Limit: </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Because of the limited time available to review applications and make a recommendation for funding, we strongly encourage applicants to limit the application narrative to no more than 45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page-limit guidance on the application narrative section, we recommend that you adhere to the following page limits, using the standards listed above: (1) The abstract should be no more than one page, (2) the resumes of key personnel should be no more than two pages per person, and (3) the bibliography should be no more than three pages. The only optional materials that will be accepted are letters of support. Please note that our reviewers are not required to read optional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any funded applicant's application abstract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 Applications Available:</w:t>
      </w:r>
      <w:r>
        <w:rPr>
          <w:rFonts w:ascii="arial" w:eastAsia="arial" w:hAnsi="arial" w:cs="arial"/>
          <w:b w:val="0"/>
          <w:i w:val="0"/>
          <w:strike w:val="0"/>
          <w:noProof w:val="0"/>
          <w:color w:val="000000"/>
          <w:position w:val="0"/>
          <w:sz w:val="20"/>
          <w:u w:val="none"/>
          <w:vertAlign w:val="baseline"/>
        </w:rPr>
        <w:t xml:space="preserve"> August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Interested parties are invited to participate in a pre-application webinar. The pre-application webinar with staff from the Department will be held on August 13, 2015. The webinar will be recorded. For further information about the pre-application webinar,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However, under </w:t>
      </w:r>
      <w:hyperlink r:id="rId14" w:history="1">
        <w:r>
          <w:rPr>
            <w:rFonts w:ascii="arial" w:eastAsia="arial" w:hAnsi="arial" w:cs="arial"/>
            <w:b w:val="0"/>
            <w:i/>
            <w:strike w:val="0"/>
            <w:noProof w:val="0"/>
            <w:color w:val="0077CC"/>
            <w:position w:val="0"/>
            <w:sz w:val="20"/>
            <w:u w:val="single"/>
            <w:vertAlign w:val="baseline"/>
          </w:rPr>
          <w:t>34 CFR 79.8(a)</w:t>
        </w:r>
      </w:hyperlink>
      <w:r>
        <w:rPr>
          <w:rFonts w:ascii="arial" w:eastAsia="arial" w:hAnsi="arial" w:cs="arial"/>
          <w:b w:val="0"/>
          <w:i w:val="0"/>
          <w:strike w:val="0"/>
          <w:noProof w:val="0"/>
          <w:color w:val="000000"/>
          <w:position w:val="0"/>
          <w:sz w:val="20"/>
          <w:u w:val="none"/>
          <w:vertAlign w:val="baseline"/>
        </w:rPr>
        <w:t>, we waive intergovernmental review in order to make an award by the end of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entered into the SAM database by an entity. Thus, if you </w:t>
      </w:r>
      <w:r>
        <w:rPr>
          <w:rFonts w:ascii="arial" w:eastAsia="arial" w:hAnsi="arial" w:cs="arial"/>
          <w:b/>
          <w:i w:val="0"/>
          <w:strike w:val="0"/>
          <w:noProof w:val="0"/>
          <w:color w:val="000000"/>
          <w:position w:val="0"/>
          <w:sz w:val="20"/>
          <w:u w:val="none"/>
          <w:vertAlign w:val="baseline"/>
        </w:rPr>
        <w:t> [*46963] </w:t>
      </w:r>
      <w:r>
        <w:rPr>
          <w:rFonts w:ascii="arial" w:eastAsia="arial" w:hAnsi="arial" w:cs="arial"/>
          <w:b w:val="0"/>
          <w:i w:val="0"/>
          <w:strike w:val="0"/>
          <w:noProof w:val="0"/>
          <w:color w:val="000000"/>
          <w:position w:val="0"/>
          <w:sz w:val="20"/>
          <w:u w:val="none"/>
          <w:vertAlign w:val="baseline"/>
        </w:rPr>
        <w:t xml:space="preserve">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Demonstration and Training: Career Pathways for Individuals with Disabilities, CFDA number 84.235N, must be submitted electronically using the Governmentwide Grants.gov Apply site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Demonstration and Training: Career Pathways for Individuals with Disabilities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84.235, not 84.235N).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1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w:t>
      </w:r>
      <w:r>
        <w:rPr>
          <w:rFonts w:ascii="arial" w:eastAsia="arial" w:hAnsi="arial" w:cs="arial"/>
          <w:b/>
          <w:i w:val="0"/>
          <w:strike w:val="0"/>
          <w:noProof w:val="0"/>
          <w:color w:val="000000"/>
          <w:position w:val="0"/>
          <w:sz w:val="20"/>
          <w:u w:val="none"/>
          <w:vertAlign w:val="baseline"/>
        </w:rPr>
        <w:t> [*46964] </w:t>
      </w:r>
      <w:r>
        <w:rPr>
          <w:rFonts w:ascii="arial" w:eastAsia="arial" w:hAnsi="arial" w:cs="arial"/>
          <w:b w:val="0"/>
          <w:i w:val="0"/>
          <w:strike w:val="0"/>
          <w:noProof w:val="0"/>
          <w:color w:val="000000"/>
          <w:position w:val="0"/>
          <w:sz w:val="20"/>
          <w:u w:val="none"/>
          <w:vertAlign w:val="baseline"/>
        </w:rPr>
        <w:t xml:space="preserv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Felipe Lulli, U.S. Department of Education, 400 Maryland Avenue SW., Room 5054, Potomac Center Plaza (PCP), Washington, DC 20202-2800. FAX: (202) 245-7592.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r>
        <w:rPr>
          <w:rFonts w:ascii="arial" w:eastAsia="arial" w:hAnsi="arial" w:cs="arial"/>
          <w:b w:val="0"/>
          <w:i w:val="0"/>
          <w:strike w:val="0"/>
          <w:noProof w:val="0"/>
          <w:color w:val="000000"/>
          <w:position w:val="0"/>
          <w:sz w:val="20"/>
          <w:u w:val="none"/>
          <w:vertAlign w:val="baseline"/>
        </w:rPr>
        <w:t xml:space="preserve"> 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84.235N),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84.235N),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1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2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w:t>
      </w:r>
      <w:r>
        <w:rPr>
          <w:rFonts w:ascii="arial" w:eastAsia="arial" w:hAnsi="arial" w:cs="arial"/>
          <w:b/>
          <w:i w:val="0"/>
          <w:strike w:val="0"/>
          <w:noProof w:val="0"/>
          <w:color w:val="000000"/>
          <w:position w:val="0"/>
          <w:sz w:val="20"/>
          <w:u w:val="none"/>
          <w:vertAlign w:val="baseline"/>
        </w:rPr>
        <w:t> [*46965] </w:t>
      </w:r>
      <w:r>
        <w:rPr>
          <w:rFonts w:ascii="arial" w:eastAsia="arial" w:hAnsi="arial" w:cs="arial"/>
          <w:b w:val="0"/>
          <w:i w:val="0"/>
          <w:strike w:val="0"/>
          <w:noProof w:val="0"/>
          <w:color w:val="000000"/>
          <w:position w:val="0"/>
          <w:sz w:val="20"/>
          <w:u w:val="none"/>
          <w:vertAlign w:val="baseline"/>
        </w:rPr>
        <w:t xml:space="preserve">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2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2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2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Government Performance and Results Act of 1993 (GPRA) directs Federal departments and agencies to improve the effectiveness of programs by engaging in strategic planning, setting outcome-related goals for programs, and measuring program results against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demonstrate promising practices in the use of career pathways to help VR-eligible individuals with disabilities, including youth with disabilities, to acquire marketable skills and recognized postsecondary credentials necessary to secure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high-demand, high-quality occupations, as measured by the following project outcomes, at a minimum: (a) Increase the number of distinct career pathways accessed or created by the participating State VR agency(ies) for eligible individuals seeking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related occupational clusters; (b) Increase the number and percentage of VR-eligible individuals who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each of the project's career pathways; and (c) Increase the average weekly wage and employer benefits of VR-eligible individuals participating in each of the project's career pathways, as compared to those of non-participating eligible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progress in achieving these performance measures will be evaluated based on the careful review of their annual financial and performance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Felipe Lulli, U.S. Department of Education, Rehabilitation Services Administration, 400 Maryland Avenue SW., Room 5054, PCP, Washington, DC 20202-2800. Telephone: (202) 245-7425 or by email: </w:t>
      </w:r>
      <w:hyperlink r:id="rId32" w:history="1">
        <w:r>
          <w:rPr>
            <w:rFonts w:ascii="arial" w:eastAsia="arial" w:hAnsi="arial" w:cs="arial"/>
            <w:b w:val="0"/>
            <w:i/>
            <w:strike w:val="0"/>
            <w:noProof w:val="0"/>
            <w:color w:val="0077CC"/>
            <w:position w:val="0"/>
            <w:sz w:val="20"/>
            <w:u w:val="single"/>
            <w:vertAlign w:val="baseline"/>
          </w:rPr>
          <w:t>felipe.lulli@ed.gov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31,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2015-19294 Filed 8-5-15;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August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8,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46961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6B-00000-00&amp;context=" TargetMode="External" /><Relationship Id="rId11" Type="http://schemas.openxmlformats.org/officeDocument/2006/relationships/hyperlink" Target="http://www.ed.gov/fund/grant/apply/grantapps/index.html" TargetMode="External" /><Relationship Id="rId12" Type="http://schemas.openxmlformats.org/officeDocument/2006/relationships/hyperlink" Target="http://www.EDPubs.gov" TargetMode="External" /><Relationship Id="rId13" Type="http://schemas.openxmlformats.org/officeDocument/2006/relationships/hyperlink" Target="mailto:edpubs@inet.ed.gov" TargetMode="External" /><Relationship Id="rId14" Type="http://schemas.openxmlformats.org/officeDocument/2006/relationships/hyperlink" Target="https://advance.lexis.com/api/document?collection=administrative-codes&amp;id=urn:contentItem:5G9C-N150-008H-01B5-00000-00&amp;context=" TargetMode="External" /><Relationship Id="rId15" Type="http://schemas.openxmlformats.org/officeDocument/2006/relationships/hyperlink" Target="http://www.SAM.gov" TargetMode="External" /><Relationship Id="rId16" Type="http://schemas.openxmlformats.org/officeDocument/2006/relationships/hyperlink" Target="http://www.grants.gov/web/grants/register.html" TargetMode="External" /><Relationship Id="rId17" Type="http://schemas.openxmlformats.org/officeDocument/2006/relationships/hyperlink" Target="http://www.Grants.gov" TargetMode="External" /><Relationship Id="rId18" Type="http://schemas.openxmlformats.org/officeDocument/2006/relationships/hyperlink" Target="http://www.G5.gov" TargetMode="External" /><Relationship Id="rId19" Type="http://schemas.openxmlformats.org/officeDocument/2006/relationships/hyperlink" Target="https://advance.lexis.com/api/document?collection=administrative-codes&amp;id=urn:contentItem:5S7T-7HS0-008H-02V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s://advance.lexis.com/api/document?collection=administrative-codes&amp;id=urn:contentItem:5KS0-F5W0-008H-023P-00000-00&amp;context=" TargetMode="External" /><Relationship Id="rId22" Type="http://schemas.openxmlformats.org/officeDocument/2006/relationships/hyperlink" Target="https://advance.lexis.com/api/document?collection=administrative-codes&amp;id=urn:contentItem:5R5H-J1H0-008H-043K-00000-00&amp;context=" TargetMode="External" /><Relationship Id="rId23" Type="http://schemas.openxmlformats.org/officeDocument/2006/relationships/hyperlink" Target="https://advance.lexis.com/api/document?collection=administrative-codes&amp;id=urn:contentItem:5KS0-F5W0-008H-024V-00000-00&amp;context=" TargetMode="External" /><Relationship Id="rId24" Type="http://schemas.openxmlformats.org/officeDocument/2006/relationships/hyperlink" Target="https://advance.lexis.com/api/document?collection=administrative-codes&amp;id=urn:contentItem:5KS0-F600-008H-02PT-00000-00&amp;context=" TargetMode="External" /><Relationship Id="rId25" Type="http://schemas.openxmlformats.org/officeDocument/2006/relationships/hyperlink" Target="https://advance.lexis.com/api/document?collection=administrative-codes&amp;id=urn:contentItem:5KS0-F5W0-008H-025B-00000-00&amp;context=" TargetMode="External" /><Relationship Id="rId26" Type="http://schemas.openxmlformats.org/officeDocument/2006/relationships/hyperlink" Target="https://advance.lexis.com/api/document?collection=administrative-codes&amp;id=urn:contentItem:5F34-Y1R0-008G-Y1F9-00000-00&amp;context=" TargetMode="External" /><Relationship Id="rId27" Type="http://schemas.openxmlformats.org/officeDocument/2006/relationships/hyperlink" Target="https://advance.lexis.com/api/document?collection=administrative-codes&amp;id=urn:contentItem:5F2R-48P0-008G-Y31V-00000-00&amp;context=" TargetMode="External" /><Relationship Id="rId28" Type="http://schemas.openxmlformats.org/officeDocument/2006/relationships/hyperlink" Target="https://advance.lexis.com/api/document?collection=administrative-codes&amp;id=urn:contentItem:5GMB-DPC0-008H-02S7-00000-00&amp;context=" TargetMode="External" /><Relationship Id="rId29" Type="http://schemas.openxmlformats.org/officeDocument/2006/relationships/hyperlink" Target="https://advance.lexis.com/api/document?collection=administrative-codes&amp;id=urn:contentItem:5GMB-DPC0-008H-02SK-00000-00&amp;context=" TargetMode="External" /><Relationship Id="rId3" Type="http://schemas.openxmlformats.org/officeDocument/2006/relationships/fontTable" Target="fontTable.xml" /><Relationship Id="rId30" Type="http://schemas.openxmlformats.org/officeDocument/2006/relationships/hyperlink" Target="http://www.ed.gov/fund/grant/apply/appforms/appforms.html" TargetMode="External" /><Relationship Id="rId31" Type="http://schemas.openxmlformats.org/officeDocument/2006/relationships/hyperlink" Target="https://advance.lexis.com/api/document?collection=administrative-codes&amp;id=urn:contentItem:5GMB-DPB0-008H-02K8-00000-00&amp;context=" TargetMode="External" /><Relationship Id="rId32" Type="http://schemas.openxmlformats.org/officeDocument/2006/relationships/hyperlink" Target="mailto:felipe.lulli@ed.gov" TargetMode="External" /><Relationship Id="rId33" Type="http://schemas.openxmlformats.org/officeDocument/2006/relationships/hyperlink" Target="http://www.gpo.gov/fdsys" TargetMode="External" /><Relationship Id="rId34" Type="http://schemas.openxmlformats.org/officeDocument/2006/relationships/hyperlink" Target="http://www.federalregister.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M6-K450-006W-82G8-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M51-NRF4-41D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