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47968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153, Monday, August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47968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Regarding NASDAQ Last Sale Plus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34-75600; File No. SR-NASDAQ-2015-088]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August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July 24, 2015,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Rule 7039 (NASDAQ Last Sale and NASDAQ Last Sale Plus Data Feeds) with language indicating the fees for NASDAQ Last Sale Plus ("NLS Plus"), a comprehensive data feed offered by NASDAQ OMX Information LLC.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NASDAQ OMX Information LLC is a subsidiary of The NASDAQ OMX Group, Inc. ("NASDAQ OMX").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proposal is to amend Rule 7039 with language indicating the fees for NLS Plus. NLS Plus allows data distributors to access the three last sale products offered by each of NASDAQ OMX's three U.S. equity markets. n4 Thus, in offering NLS Plus, NASDAQ OMX Information LLC is acting as a redistributor of last sale products already offered by NASDAQ, </w:t>
      </w:r>
      <w:r>
        <w:rPr>
          <w:rFonts w:ascii="arial" w:eastAsia="arial" w:hAnsi="arial" w:cs="arial"/>
          <w:b/>
          <w:i w:val="0"/>
          <w:strike w:val="0"/>
          <w:noProof w:val="0"/>
          <w:color w:val="000000"/>
          <w:position w:val="0"/>
          <w:sz w:val="20"/>
          <w:u w:val="none"/>
          <w:vertAlign w:val="baseline"/>
        </w:rPr>
        <w:t> [*47969] </w:t>
      </w:r>
      <w:r>
        <w:rPr>
          <w:rFonts w:ascii="arial" w:eastAsia="arial" w:hAnsi="arial" w:cs="arial"/>
          <w:b w:val="0"/>
          <w:i w:val="0"/>
          <w:strike w:val="0"/>
          <w:noProof w:val="0"/>
          <w:color w:val="000000"/>
          <w:position w:val="0"/>
          <w:sz w:val="20"/>
          <w:u w:val="none"/>
          <w:vertAlign w:val="baseline"/>
        </w:rPr>
        <w:t xml:space="preserve"> BX, and PSX and volume information provided by the securities information processors for Tape A, B, and C. n5 This proposal is being filed by the Exchange to indicate the fees for the NLS Plus data feed offering and in light of the recent approval order regarding NLS Plus.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NASDAQ OMX U.S. equity markets include The NASDAQ Stock Market ("NASDAQ"), NASDAQ OMX BX ("BX"), and NASDAQ OMX PSX ("PSX") (together known as the "NASDAQ OMX equity markets"). PSX and BX will shortly file companion proposals regarding data feeds similar to NLS Plus. NASDAQ's last sale product, NASDAQ Last Sale, includes last sale information from the FINRA/NASDAQ Trade Reporting Facility ("FINRA/NASDAQ TRF"), which is jointly operated by NASDAQ and the Financial Industry Regulatory Authority ("FINRA").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71350 (January 17, 2014), </w:t>
      </w:r>
      <w:hyperlink r:id="rId11" w:history="1">
        <w:r>
          <w:rPr>
            <w:rFonts w:ascii="arial" w:eastAsia="arial" w:hAnsi="arial" w:cs="arial"/>
            <w:b w:val="0"/>
            <w:i/>
            <w:strike w:val="0"/>
            <w:noProof w:val="0"/>
            <w:color w:val="0077CC"/>
            <w:position w:val="0"/>
            <w:sz w:val="20"/>
            <w:u w:val="single"/>
            <w:vertAlign w:val="baseline"/>
          </w:rPr>
          <w:t>79 FR 4218</w:t>
        </w:r>
      </w:hyperlink>
      <w:r>
        <w:rPr>
          <w:rFonts w:ascii="arial" w:eastAsia="arial" w:hAnsi="arial" w:cs="arial"/>
          <w:b w:val="0"/>
          <w:i w:val="0"/>
          <w:strike w:val="0"/>
          <w:noProof w:val="0"/>
          <w:color w:val="000000"/>
          <w:position w:val="0"/>
          <w:sz w:val="20"/>
          <w:u w:val="none"/>
          <w:vertAlign w:val="baseline"/>
        </w:rPr>
        <w:t xml:space="preserve"> (January 24, 2014) (SR-FINRA-2014-002). For proposed rule changes submitted with respect to NASDAQ Last Sale, BX Last Sale, and PSX Last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57965 (June 16, 2008), </w:t>
      </w:r>
      <w:hyperlink r:id="rId12"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(order approving NASDAQ Last Sale data feeds pilot); 61112 (December 4, 2009), </w:t>
      </w:r>
      <w:hyperlink r:id="rId13" w:history="1">
        <w:r>
          <w:rPr>
            <w:rFonts w:ascii="arial" w:eastAsia="arial" w:hAnsi="arial" w:cs="arial"/>
            <w:b w:val="0"/>
            <w:i/>
            <w:strike w:val="0"/>
            <w:noProof w:val="0"/>
            <w:color w:val="0077CC"/>
            <w:position w:val="0"/>
            <w:sz w:val="20"/>
            <w:u w:val="single"/>
            <w:vertAlign w:val="baseline"/>
          </w:rPr>
          <w:t>74 FR 65569,</w:t>
        </w:r>
      </w:hyperlink>
      <w:r>
        <w:rPr>
          <w:rFonts w:ascii="arial" w:eastAsia="arial" w:hAnsi="arial" w:cs="arial"/>
          <w:b w:val="0"/>
          <w:i w:val="0"/>
          <w:strike w:val="0"/>
          <w:noProof w:val="0"/>
          <w:color w:val="000000"/>
          <w:position w:val="0"/>
          <w:sz w:val="20"/>
          <w:u w:val="none"/>
          <w:vertAlign w:val="baseline"/>
        </w:rPr>
        <w:t xml:space="preserve"> (December 10, 2009) (SR-BX-2009-077) (notice of filing and immediate effectiveness regarding BX Last Sale data feeds); and 62876 (September 9, 2010), </w:t>
      </w:r>
      <w:hyperlink r:id="rId14"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(notice of filing and immediate effectiveness regarding PSX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Tape A and Tape B securities are disseminated pursuant to the Security Industry Automation Corporation's ("SIAC") Consolidated Tape Association Plan/Consolidated Quotation System, or CTA/CQS ("CTA"). Tape C securities are disseminated pursuant to the NASDAQ Unlisted Trading Privileges ("UTP")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75257 (June 22, 2015), </w:t>
      </w:r>
      <w:hyperlink r:id="rId15" w:history="1">
        <w:r>
          <w:rPr>
            <w:rFonts w:ascii="arial" w:eastAsia="arial" w:hAnsi="arial" w:cs="arial"/>
            <w:b w:val="0"/>
            <w:i/>
            <w:strike w:val="0"/>
            <w:noProof w:val="0"/>
            <w:color w:val="0077CC"/>
            <w:position w:val="0"/>
            <w:sz w:val="20"/>
            <w:u w:val="single"/>
            <w:vertAlign w:val="baseline"/>
          </w:rPr>
          <w:t>80 FR 36862</w:t>
        </w:r>
      </w:hyperlink>
      <w:r>
        <w:rPr>
          <w:rFonts w:ascii="arial" w:eastAsia="arial" w:hAnsi="arial" w:cs="arial"/>
          <w:b w:val="0"/>
          <w:i w:val="0"/>
          <w:strike w:val="0"/>
          <w:noProof w:val="0"/>
          <w:color w:val="000000"/>
          <w:position w:val="0"/>
          <w:sz w:val="20"/>
          <w:u w:val="none"/>
          <w:vertAlign w:val="baseline"/>
        </w:rPr>
        <w:t xml:space="preserve"> (June 26, 2015) (SR-NASDAQ-2015-055) (order approving proposed rule change regarding NASDAQ Last Sale Plus); and Rule 7039(d).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74972 (May 15, 2015), </w:t>
      </w:r>
      <w:hyperlink r:id="rId16" w:history="1">
        <w:r>
          <w:rPr>
            <w:rFonts w:ascii="arial" w:eastAsia="arial" w:hAnsi="arial" w:cs="arial"/>
            <w:b w:val="0"/>
            <w:i/>
            <w:strike w:val="0"/>
            <w:noProof w:val="0"/>
            <w:color w:val="0077CC"/>
            <w:position w:val="0"/>
            <w:sz w:val="20"/>
            <w:u w:val="single"/>
            <w:vertAlign w:val="baseline"/>
          </w:rPr>
          <w:t>80 FR 29370</w:t>
        </w:r>
      </w:hyperlink>
      <w:r>
        <w:rPr>
          <w:rFonts w:ascii="arial" w:eastAsia="arial" w:hAnsi="arial" w:cs="arial"/>
          <w:b w:val="0"/>
          <w:i w:val="0"/>
          <w:strike w:val="0"/>
          <w:noProof w:val="0"/>
          <w:color w:val="000000"/>
          <w:position w:val="0"/>
          <w:sz w:val="20"/>
          <w:u w:val="none"/>
          <w:vertAlign w:val="baseline"/>
        </w:rPr>
        <w:t xml:space="preserve"> (May 21, 2015) (SR-NASDAQ-2015-055) (notice of filing of proposed rule change regarding NASDAQ Last Sale Plus). These filings are known as "NLS Plus Approval Order" and "NLS Plus notice", respectively. NLS Plus, which is codified in Rule 7039(d), has been offered since 2010 via NASDAQ OMX Information LLC. NLS Plus is described online at </w:t>
      </w:r>
      <w:hyperlink r:id="rId17" w:history="1">
        <w:r>
          <w:rPr>
            <w:rFonts w:ascii="arial" w:eastAsia="arial" w:hAnsi="arial" w:cs="arial"/>
            <w:b w:val="0"/>
            <w:i/>
            <w:strike w:val="0"/>
            <w:noProof w:val="0"/>
            <w:color w:val="0077CC"/>
            <w:position w:val="0"/>
            <w:sz w:val="20"/>
            <w:u w:val="single"/>
            <w:vertAlign w:val="baseline"/>
          </w:rPr>
          <w:t>http://nasdaqtrader.com/content/technicalsupport/specifications/dataproducts/NLSPlusSpecification.pdf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annual administrative and other fees for NLS Plus are noted at </w:t>
      </w:r>
      <w:hyperlink r:id="rId18" w:history="1">
        <w:r>
          <w:rPr>
            <w:rFonts w:ascii="arial" w:eastAsia="arial" w:hAnsi="arial" w:cs="arial"/>
            <w:b w:val="0"/>
            <w:i/>
            <w:strike w:val="0"/>
            <w:noProof w:val="0"/>
            <w:color w:val="0077CC"/>
            <w:position w:val="0"/>
            <w:sz w:val="20"/>
            <w:u w:val="single"/>
            <w:vertAlign w:val="baseline"/>
          </w:rPr>
          <w:t>http://nasdaqtrader.com/Trader.aspx?id=DPUSdata#ls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allows data distributors to access last sale products offered by each of NASDAQ OMX's three equity exchanges. NLS Plus includes all transactions from all of NASDAQ OMX's equity markets, as well as FINRA/NASDAQ TRF data that is included in the current NLS product. In addition, NLS Plus features total cross-market volume information at the issue level, thereby providing redistribution of consolidated volume information ("consolidated volume") from the securities information processors ("SIPs") for Tape A, B, and C securities. n7 Thus, NLS Plus covers all securities listed on NASDAQ and New York Stock Exchange ("NYSE") (now under the Intercontinental Exchange ("ICE") umbrella), as well as US "regional" exchanges such as NYSE MKT, NYSE Arca, and BATS (also known as BATS/Direct Edge). n8 As noted in the NLS Plus Approval Order, the Exchange is filing this separate proposal regarding the NLS Plus fee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This reflects real-time trading activity for Tape C securities and 15-minute delayed information for Tape A and Tape B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Registered U.S. exchanges are listed at </w:t>
      </w:r>
      <w:hyperlink r:id="rId19" w:history="1">
        <w:r>
          <w:rPr>
            <w:rFonts w:ascii="arial" w:eastAsia="arial" w:hAnsi="arial" w:cs="arial"/>
            <w:b w:val="0"/>
            <w:i/>
            <w:strike w:val="0"/>
            <w:noProof w:val="0"/>
            <w:color w:val="0077CC"/>
            <w:position w:val="0"/>
            <w:sz w:val="20"/>
            <w:u w:val="single"/>
            <w:vertAlign w:val="baseline"/>
          </w:rPr>
          <w:t>http://www.sec.gov/divisions/marketreg/mrexchanges.shtml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is currently codified in Rule 7039(d) n9 in a manner similar to products of other markets. n10 NLS Plus is offered, as noted, through NASDAQ OMX Information LLC, which is a subsidiary of The NASDAQ OMX Group, Inc. that is separate and apart from The NASDAQ Stock Market LLC. NASDAQ OMX Information LLC combines publicly available data from the three filed last sale products of the NASDAQ OMX equity markets and from the network processors for the ease and convenience of market data users and vendors, and ultimately the investing public. In that role, the function of NASDAQ OMX Information LLC is analogous to that of other market data vendors, and it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market data vendors. NASDAQ OMX Information LLC distributes no data that is not equally available to all market data vendors. For example, NASDAQ OMX Information LLC receives data from the exchange that is available to other market data vendors, with the same information distributed to NASDAQ OMX Information LLC at the same time it is distributed to other vendors (that is, NASDAQ OMX Information LLC has neither a speed nor an information differential). Through this structure, NASDAQ OMX Information LLC performs precisely the same functions as Bloomberg, Thomson Reuters, and dozens of other market data vendors; and the contents of the NLS Plus data stream are similar in nature to what is distributed by other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(order approving market data product called BATS One Feed being offered by four affiliated exchanges).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20"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(order granting approval to establish the NYSE Best Quote &amp; Trades ("BQT") Data Feed). These exchanges have likewise instituted fees for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market data distributors may use the NLS Plus data feed to feed stock tickers, portfolio trackers, trade alert programs, time and sale graphs, and other display systems. The contents of NLS Plus are set forth in NASDAQ Rule 7039(d). n11 Specifically, subsection (d) states that NASDAQ Last Sale Plus is a comprehensive data feed produced by NASDAQ OMX Information LLC that provides last sale data as well as consolidated volume of NASDAQ OMX equity markets (NASDAQ, BX, and PSX) and the NASDAQ/FINRA Trade Reporting Facility("TRF"). NASDAQ Last Sale Plus also reflects cumulative volume real-time trading activity across all U.S. exchanges for Tape C securities and 15-minute delayed information for Tape A and Tape B securities. NLS Plus also contains the following data elements: Trade Price, Trade Size, Sale Condition Modifiers, Cumulative Consolidated Market Volume, End of Day Trade Summary, Adjusted Closing Price, IPO Information, and Bloomberg ID. Additionally, pertinent regulatory information such as Market Wide Circuit Breaker, Reg SHO Short Sale Price Test Restricted Indicator, Trading Action, Symbol Directory, Adjusted Closing Price, and End of Day Trade Summary are included. n12 NLS Plus may be received by itself or in combination with NASDAQ Basic. The Exchange now proposes to add into Rule 7039(d) the fees associated with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contents of NLS Plus in large part mimic those of NLS, which is set forth in NASDAQ Rule 7039(a)-(c). Similar to NLS, NLS Plus offers data for all U.S. equities via two separate data channels: The first data channel reflects NASDAQ, BX, and PSX trades with real-time consolidated volume for NASDAQ-listed securities; and the second data channel reflects NASDAQ, BX, and PSX trades with delayed consolidated volume for NYSE, NYSE MKT, NYSE Arca and BATS-listed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overwhelming majority of these data elements and messages are exactly the same as, and in fact are sourced from, NLS, BX Last Sale, and PSX Last Sale. Only two data elements (consolidated volume and Bloomberg ID) are sourced from other publicly accessible or obtainable resources. The Reg SHO Short Sale Price Test Restricted Indicator message is disseminated intra-day when a security has a price drop of 10% or more from the adjusted prior day's NASDAQ Official Closing Price. Trading Action indicates the current trading status of a security to the trading community, and indicates when a security is halted, paused, released for quotation, and released for trading. Symbol Directory is disseminated at the start of each trading day for all active NASDAQ and non-NASDAQ-listed security symbols. Adjusted Closing Price is disseminated at the start of each trading day for all active symbols in the NASDAQ system. End of Day Trade Summary is disseminated at the close of each trading day, as a summary for all active NASDAQ- and non-NASDAQ-listed securities. IPO Information reflects IPO general administrative messages from the UTP and CTA Level 1 feeds for Initial Public Offerings for all NASDAQ- and non-NASDAQ-listed securities. For additional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NLS Plus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receive an NLS Plus feed today are liable for annual administration fees for applicable NASDAQ equity exchanges: $ 1,000 for NASDAQ, $ 1,000 for BX, and $ 1,000 for PSX. n13 In addition, firms that receive NLS Plus are liable for NLS or NASDAQ Basic fees. n14 Finally, firms will pay a </w:t>
      </w:r>
      <w:r>
        <w:rPr>
          <w:rFonts w:ascii="arial" w:eastAsia="arial" w:hAnsi="arial" w:cs="arial"/>
          <w:b/>
          <w:i w:val="0"/>
          <w:strike w:val="0"/>
          <w:noProof w:val="0"/>
          <w:color w:val="000000"/>
          <w:position w:val="0"/>
          <w:sz w:val="20"/>
          <w:u w:val="none"/>
          <w:vertAlign w:val="baseline"/>
        </w:rPr>
        <w:t> [*47970] </w:t>
      </w:r>
      <w:r>
        <w:rPr>
          <w:rFonts w:ascii="arial" w:eastAsia="arial" w:hAnsi="arial" w:cs="arial"/>
          <w:b w:val="0"/>
          <w:i w:val="0"/>
          <w:strike w:val="0"/>
          <w:noProof w:val="0"/>
          <w:color w:val="000000"/>
          <w:position w:val="0"/>
          <w:sz w:val="20"/>
          <w:u w:val="none"/>
          <w:vertAlign w:val="baseline"/>
        </w:rPr>
        <w:t xml:space="preserve"> data consolidation fee of $ 350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current fees,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http://nasdaqtrader.com/Trader.aspx?id=DPUSdata#ls</w:t>
        </w:r>
      </w:hyperlink>
      <w:r>
        <w:rPr>
          <w:rFonts w:ascii="arial" w:eastAsia="arial" w:hAnsi="arial" w:cs="arial"/>
          <w:b w:val="0"/>
          <w:i w:val="0"/>
          <w:strike w:val="0"/>
          <w:noProof w:val="0"/>
          <w:color w:val="000000"/>
          <w:position w:val="0"/>
          <w:sz w:val="20"/>
          <w:u w:val="none"/>
          <w:vertAlign w:val="baseline"/>
        </w:rPr>
        <w:t>. Annual administrative fees are in BX Rule 7035, NASDAQ Rule 7035, and NASDAQ OMX PSX Fees Chapter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User fees for NLS and NASDAQ Basic are in NASDAQ Rules 7039 and 7047. User fees for BX Last Sale are in BX Rule 7039 (currently there is no fee liability), and for PSX Last Sale are in NASDAQ OMX PSX Fees Chapter VIII (currently there is no fee liability). As currently described in NASDAQ Rule 7047, NASDAQ Basic provides two sets of data elements: (1) the best bid and offer on the NASDAQ Stock Market for each U.S. equity security; and (2) the last sale information currently provided by NLS.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proposed Rule 7039 states the following at sections (d)(1) through (d)(3):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Firms that receive NLS Plus shall pay the annual administration fees for NLS, BX Last Sale, and PSX Last Sale, and a data consolidation fee of $ 350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Firms that receive NLS Plus are in addition liable for NLS or NASDAQ Basic fees,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event that NASDAQ OMX BX and/or NASDAQ OMX PHLX adopt user fees for BX Last Sale and/or PSX Last Sale, firms that receive NLS Plus would also be liable for such fees.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BX Last Sale and PSX Last Sale currently are not fee liable, as noted in BX Rule 7039 and NASDAQ OMX PSX Fees Chapter VIII,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the proposed fee structure is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product similar to NLS Plus. n16 The proposed fee structure reflects the current annual administrative cost as well as the incremental cost of the aggregation and consolidation function (generally known as the "consolidation function") for NLS Plus, and would not be lower than the cost to a vendor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including the cost of receiving the underlying data feeds. The proposed fee structure for NLS Plus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discussion in addition to this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NLS Plus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24 in the NLS Plus notice, wherein the Exchange indicated that it expects that the fee structure for NLS Plus will reflect an amount that is no less than the cost to a market data vendor to obtain all the underlying feeds, plus an amount to be determined that would reflect the value of the aggregation and consolidation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 structure is reasonable and proper. First, the proposed administration fee is essentially a codification of the current administration fee vis a vis NASDAQ, BX and PSX. Second, NLS Plus recipients would also be liable for fees if the Exchange adopts user fees for BX Last Sale and/or PSX Last Sale. To that end, the Exchange notes that it will file separate proposals to adopt NLS Plus in the BX Last Sale and PSX Last Sale provisions, n18 as well as separate fee proposals that would each, like this filing, be expected to have an administrative fee component and a consolidation component. Third, firms receive NLS Plus by itself or in conjunction with NASDAQ Basic. n19 Accordingly, firms would either be liable for NLS fees or NASDAQ Basic fees. Fourth, the Exchange proposes that NLS Plus includes a specific monthly $ 350 data consolidation fee. This fee is designed to recoup the monthly consolidation costs emanating from the aggregation and consolidation of the data and data streams that make up the NLS Plus data feed. Such consolidated costs include, for example, the costs of combining the feeds, adding the Bloomberg ID, and combining the consolidated sale info. The Exchange believes that this consolidation fee, while in addition to the current NLS Plus fees in place, would not be material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BX Rule 7039 and NASDAQ OMX PSX Fees Chapter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As provided in Rule 7047, NASDAQ Basic provides the information contained in NLS, together with NASDAQ's best bid and best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NLS Plus fee is a simple codification of the existing NLS PLS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fee into Rule 7039, as discussed, with the addition of a monthly data consolidation fee, and as such meets the requirements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the proposed rule change is consistent with the provisions of Section 6 of the Act, n20 in general, and with Sections 6(b)(4) and (5) of the Act, n21 in particular, in that it provides for the equitable allocation of reasonable dues, fees, and other charges among its members, issuers and other persons using its facilities, and does not unfairly discriminate between customers, issuers, brokers or dealers. The Exchange is codifying the fees regarding the NLS Plus data offering and the consolidation fee, as discussed, into sections (d)(1) through (d)(3) of Rule 7039.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1"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1"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the proposed fees offered to firms that elect to receive NLS Plus are reasonable, equitable and not unfairly discriminatory. These fees are reasonable because they are, as discussed, simply a codification of the existing fee structure, with an addition of the above-discussed consolidation fee, into existing Rule 7039. The proposed fee structure would apply equally to all firms that choose to avail themselves of the NLS Plus data feed, and no firm is required to use NLS Plus. Moreover, the Exchange believes that the consolidation fee, while in addition to the current NLS Plus fee, would not be material to firms. The consolidation fee would, however, enable the Exchange to recoup the monthly consolidation cost emanating from the aggregation and consolidation of the data and data streams that make up the NLS Plus data feed. Such consolidated costs include, for example, the monthly the costs of combining the feeds, adding the Bloomberg ID, and creating the consolidated sale info. The proposed fee structure would not be unfairly discriminatory because it would apply equally to all firms that choose to use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the proposed fees are also consistent with the investor protection objectives of Section 6(b)(5) of the Act n22 in that they are designed to promote just and equitable principles of trade, to remove impediments to a free and open market and national market system, and in general to protect investors and the public interest. Specifically, the proposed fee structure will codify the fees regarding the NLS Plus data offering into sections (d)(1) through (d)(3) of Rule 7039, which helps to assure proper enforcement of the rule and investor protection. NASDAQ believes also that the proposal facilitates transactions in securities, removes impediments to and perfects the mechanism of a free and open market and a national market system, and, in general, protects investors and the public interest by codifying into a rule the fee liability for an additional means by which investors may access information about securities transactions, namely NLS Plus, thereby providing investors with additional options for accessing information that may help to inform their trading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1"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notes that the Commission has recently approved data products on several exchanges that are similar to NLS Plus, and specifically determined that the fee-liable approved data products were consistent with the Act. n23 NLS Plus simply provides market participants with an additional option for receiving market data that has already been the subject of a proposed rule change and that is available from myriad market data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 regarding BATS One and NYSE BQT.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NASDAQ believes that its NLS Plus market data product is </w:t>
      </w:r>
      <w:r>
        <w:rPr>
          <w:rFonts w:ascii="arial" w:eastAsia="arial" w:hAnsi="arial" w:cs="arial"/>
          <w:b/>
          <w:i w:val="0"/>
          <w:strike w:val="0"/>
          <w:noProof w:val="0"/>
          <w:color w:val="000000"/>
          <w:position w:val="0"/>
          <w:sz w:val="20"/>
          <w:u w:val="none"/>
          <w:vertAlign w:val="baseline"/>
        </w:rPr>
        <w:t> [*47971] </w:t>
      </w:r>
      <w:r>
        <w:rPr>
          <w:rFonts w:ascii="arial" w:eastAsia="arial" w:hAnsi="arial" w:cs="arial"/>
          <w:b w:val="0"/>
          <w:i w:val="0"/>
          <w:strike w:val="0"/>
          <w:noProof w:val="0"/>
          <w:color w:val="000000"/>
          <w:position w:val="0"/>
          <w:sz w:val="20"/>
          <w:u w:val="none"/>
          <w:vertAlign w:val="baseline"/>
        </w:rPr>
        <w:t xml:space="preserve">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2"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3"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NASDAQ's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NASDAQ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therefore in accordance with the relevant statutory standards. n26 Accordingly, any findings of the court with respect to that product may not be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xml:space="preserve"> ")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fee liable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this proposal simply codifies the relevant fee structure into an Exchange rule.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proposed fee structure is designed to ensure a fair and reasonable use of Exchange resources by allowing the Exchange to recoup costs while continuing to offer its data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This rule proposal does not burden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continues to offer alternative data products and, like the Exchange, set fees, n27 but rather reflects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data feed vendors and will further enhance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NLS Plus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existing similar products and potential products of market data vendors. NASDAQ OMX Information LLC was constructed specifically to establish a level playing field with market data vendors and to preserve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Therefore, NASDAQ OMX Information LLC receives NLS, BX Last Sale, and PSX Last Sale from each NASDAQ-operated exchange in the same manner, at the same speed, and reflecting the same fees as for all market data vendors. Therefore, NASDAQ Information LLC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these last sale products and NASDAQ commits to maintaining this level playing field in the future. In other words, NASDAQ will continue to disseminate separately the underlying last sale products to avoid creating a latency differential between NASDAQ OMX Information LLC and other market data vendors, and to avoid creating a pricing advantage for NASDAQ OMX Information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joins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w:t>
      </w:r>
      <w:r>
        <w:rPr>
          <w:rFonts w:ascii="arial" w:eastAsia="arial" w:hAnsi="arial" w:cs="arial"/>
          <w:b/>
          <w:i w:val="0"/>
          <w:strike w:val="0"/>
          <w:noProof w:val="0"/>
          <w:color w:val="000000"/>
          <w:position w:val="0"/>
          <w:sz w:val="20"/>
          <w:u w:val="none"/>
          <w:vertAlign w:val="baseline"/>
        </w:rPr>
        <w:t> [*47972] </w:t>
      </w:r>
      <w:r>
        <w:rPr>
          <w:rFonts w:ascii="arial" w:eastAsia="arial" w:hAnsi="arial" w:cs="arial"/>
          <w:b w:val="0"/>
          <w:i w:val="0"/>
          <w:strike w:val="0"/>
          <w:noProof w:val="0"/>
          <w:color w:val="000000"/>
          <w:position w:val="0"/>
          <w:sz w:val="20"/>
          <w:u w:val="none"/>
          <w:vertAlign w:val="baseline"/>
        </w:rPr>
        <w:t xml:space="preserve">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n28 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NASDAQ would be unable to defray its platform costs of providing the joint products. Similarly, data products cannot make use of TRF trade reports without the raw material of the trade reports themselves, and therefore necessitate the costs of operating, regulating, n29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exchange's BD customers view the costs of transaction executions and of data as a unified cost of doing business with the exchange. A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trading activity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the case of products such as NLS Plus that are distributed through market data vendors, the vendors provide price discipline for proprietary data products because they control the primary means of access to end users. Vendors impose price restraints based upon their business models. For example, vendors such as Bloomberg and Reuters that assess a surcharge on data they sell may refuse to offer proprietary products that end users will not purchase in sufficient numbers. Internet portals, such as Google, impose a discipline by providing only data that will enable them to attract "eyeballs" that contribute to their advertising revenue. Retail BDs, such as Schwab and Fidelity, offer their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Exchanges, TRFs, and other producers of proprietary data products must understand and respond to these varying business models and pricing disciplines in order to market proprietary data products successfully. Moreover, NASDAQ believes that products such as NLS Plus can enhance order flow to NASDAQ by providing more widespread distribution of information about transactions in real time, thereby encouraging wider participation in the market by investors with access to the internet or television. Conversely, the value of such products to distributors and investors decreases if order flow falls, because the products contain less content.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w:t>
      </w:r>
      <w:r>
        <w:rPr>
          <w:rFonts w:ascii="arial" w:eastAsia="arial" w:hAnsi="arial" w:cs="arial"/>
          <w:b/>
          <w:i w:val="0"/>
          <w:strike w:val="0"/>
          <w:noProof w:val="0"/>
          <w:color w:val="000000"/>
          <w:position w:val="0"/>
          <w:sz w:val="20"/>
          <w:u w:val="none"/>
          <w:vertAlign w:val="baseline"/>
        </w:rPr>
        <w:t> [*47973] </w:t>
      </w:r>
      <w:r>
        <w:rPr>
          <w:rFonts w:ascii="arial" w:eastAsia="arial" w:hAnsi="arial" w:cs="arial"/>
          <w:b w:val="0"/>
          <w:i w:val="0"/>
          <w:strike w:val="0"/>
          <w:noProof w:val="0"/>
          <w:color w:val="000000"/>
          <w:position w:val="0"/>
          <w:sz w:val="20"/>
          <w:u w:val="none"/>
          <w:vertAlign w:val="baseline"/>
        </w:rPr>
        <w:t xml:space="preserve">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 Indeed, in the case of NLS Plus, the data provided through that product appears both in (i) real-time core data products offered by the SIPs for a fee, (ii) free SIP data products with a 15-minute time delay, and (iii) individual exchange data products, and finds a close substitute in last-sale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n31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associated with trade reporting or TRF data would shift trade report volumes from one of the existing TRFs to the other n32 and create incentives for other TRF operators to enter the space. Alternatively, because BDs reporting to TRFs are themselves free to consolidate the market data that they report, the market for over-the-counter data itself, separate and apart from the markets for execution and trade reporting services--is fully contestable.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It should be noted that the FINRA/NYSE TRF has, in recent weeks, received reports for almost 10% of all over-the-counter volume in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consolidated data provides two additional measures of pricing discipline for proprietary data products that are a subset of the consolidated data stream. First, the consolidated data is widely available in real-time at $ 1 per month for non-professional users. Second, consolidated data is also available at no cost with a 15- or 20-minute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 Similarly, increases in the cost of NLS Plus would impair the willingness of distributors to take a product for which there are numerous alternatives, impacting NLS Plus data revenues, the value of NLS Plus as a tool for attracting order flow, and ultimately, the volume of orders routed to NASDAQ and the value of its other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rule change has become effective pursuant to Section 19(b)(3)(A)(ii) of the Act. n33 At any time within 60 days of the filing of the proposed rule change, the Commission summarily may temporarily suspend </w:t>
      </w:r>
      <w:r>
        <w:rPr>
          <w:rFonts w:ascii="arial" w:eastAsia="arial" w:hAnsi="arial" w:cs="arial"/>
          <w:b/>
          <w:i w:val="0"/>
          <w:strike w:val="0"/>
          <w:noProof w:val="0"/>
          <w:color w:val="000000"/>
          <w:position w:val="0"/>
          <w:sz w:val="20"/>
          <w:u w:val="none"/>
          <w:vertAlign w:val="baseline"/>
        </w:rPr>
        <w:t> [*47974] </w:t>
      </w:r>
      <w:r>
        <w:rPr>
          <w:rFonts w:ascii="arial" w:eastAsia="arial" w:hAnsi="arial" w:cs="arial"/>
          <w:b w:val="0"/>
          <w:i w:val="0"/>
          <w:strike w:val="0"/>
          <w:noProof w:val="0"/>
          <w:color w:val="000000"/>
          <w:position w:val="0"/>
          <w:sz w:val="20"/>
          <w:u w:val="none"/>
          <w:vertAlign w:val="baseline"/>
        </w:rPr>
        <w:t xml:space="preserve">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SR-NASDAQ-2015-088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submissions should refer to File Number SR-NASDAQ-2015-088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file number should be included on the subject line if email is used. To help the Commission process and review your comments more efficiently, please use only one method. The Commission will post all comments on the Commission's Internet Web site (</w:t>
      </w:r>
      <w:hyperlink r:id="rId2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will also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SR-NASDAQ-2015-088 and should be submitted on or before August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28"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2015-19537 Filed 8-7-15;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47968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BC0-G1V0-006W-844H-00000-00&amp;context=" TargetMode="External" /><Relationship Id="rId12" Type="http://schemas.openxmlformats.org/officeDocument/2006/relationships/hyperlink" Target="https://advance.lexis.com/api/document?collection=administrative-codes&amp;id=urn:contentItem:4ST3-7660-006W-855B-00000-00&amp;context=" TargetMode="External" /><Relationship Id="rId13" Type="http://schemas.openxmlformats.org/officeDocument/2006/relationships/hyperlink" Target="https://advance.lexis.com/api/document?collection=administrative-codes&amp;id=urn:contentItem:4XWV-C110-006W-820D-00000-00&amp;context=" TargetMode="External" /><Relationship Id="rId14" Type="http://schemas.openxmlformats.org/officeDocument/2006/relationships/hyperlink" Target="https://advance.lexis.com/api/document?collection=administrative-codes&amp;id=urn:contentItem:511J-9M30-006W-82GB-00000-00&amp;context=" TargetMode="External" /><Relationship Id="rId15" Type="http://schemas.openxmlformats.org/officeDocument/2006/relationships/hyperlink" Target="https://advance.lexis.com/api/document?collection=administrative-codes&amp;id=urn:contentItem:5G9F-0SM0-006W-8372-00000-00&amp;context=" TargetMode="External" /><Relationship Id="rId16" Type="http://schemas.openxmlformats.org/officeDocument/2006/relationships/hyperlink" Target="https://advance.lexis.com/api/document?collection=administrative-codes&amp;id=urn:contentItem:5G1S-38R0-006W-83X7-00000-00&amp;context=" TargetMode="External" /><Relationship Id="rId17" Type="http://schemas.openxmlformats.org/officeDocument/2006/relationships/hyperlink" Target="http://nasdaqtrader.com/content/technicalsupport/specifications/dataproducts/NLSPlusSpecification.pdf" TargetMode="External" /><Relationship Id="rId18" Type="http://schemas.openxmlformats.org/officeDocument/2006/relationships/hyperlink" Target="http://nasdaqtrader.com/Trader.aspx?id=DPUSdata#ls" TargetMode="External" /><Relationship Id="rId19" Type="http://schemas.openxmlformats.org/officeDocument/2006/relationships/hyperlink" Target="http://www.sec.gov/divisions/marketreg/mrexchanges.shtml"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KG-59X0-006W-84JS-00000-00&amp;context=" TargetMode="External" /><Relationship Id="rId21" Type="http://schemas.openxmlformats.org/officeDocument/2006/relationships/hyperlink" Target="https://advance.lexis.com/api/document?collection=statutes-legislation&amp;id=urn:contentItem:4YF7-GPC1-NRF4-4309-00000-00&amp;context=" TargetMode="External" /><Relationship Id="rId22" Type="http://schemas.openxmlformats.org/officeDocument/2006/relationships/hyperlink" Target="https://advance.lexis.com/api/document?collection=administrative-codes&amp;id=urn:contentItem:4GH9-4PB0-014W-D1VJ-00000-00&amp;context=" TargetMode="External" /><Relationship Id="rId23" Type="http://schemas.openxmlformats.org/officeDocument/2006/relationships/hyperlink" Target="https://advance.lexis.com/api/document?collection=cases&amp;id=urn:contentItem:803V-DT30-YB0V-T01B-00000-00&amp;context=" TargetMode="External" /><Relationship Id="rId24" Type="http://schemas.openxmlformats.org/officeDocument/2006/relationships/hyperlink" Target="https://advance.lexis.com/api/document?collection=cases&amp;id=urn:contentItem:589M-GYC1-F04K-Y02R-00000-00&amp;context=" TargetMode="External" /><Relationship Id="rId25" Type="http://schemas.openxmlformats.org/officeDocument/2006/relationships/hyperlink" Target="http://www.cinnober.com/boat-trade-reporting" TargetMode="External" /><Relationship Id="rId26" Type="http://schemas.openxmlformats.org/officeDocument/2006/relationships/hyperlink" Target="http://www.sec.gov/rules/sro.shtml" TargetMode="External" /><Relationship Id="rId27" Type="http://schemas.openxmlformats.org/officeDocument/2006/relationships/hyperlink" Target="mailto:rule-comments@sec.gov" TargetMode="External" /><Relationship Id="rId28" Type="http://schemas.openxmlformats.org/officeDocument/2006/relationships/hyperlink" Target="https://advance.lexis.com/api/document?collection=administrative-codes&amp;id=urn:contentItem:5SPP-2120-008G-Y2ND-00000-00&amp;context="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N0-NH40-006W-82VN-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71342422</vt:lpwstr>
  </property>
  <property fmtid="{D5CDD505-2E9C-101B-9397-08002B2CF9AE}" pid="3" name="LADocCount">
    <vt:lpwstr>1</vt:lpwstr>
  </property>
  <property fmtid="{D5CDD505-2E9C-101B-9397-08002B2CF9AE}" pid="4" name="UserPermID">
    <vt:lpwstr>urn:user:PA185916758</vt:lpwstr>
  </property>
</Properties>
</file>