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52500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168, Monday, August 31,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52500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August 31,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Third Point Offshore Fund, Ltd.,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Third Point Offshore Fund, Ltd. et al.,</w:t>
      </w:r>
      <w:r>
        <w:rPr>
          <w:rFonts w:ascii="arial" w:eastAsia="arial" w:hAnsi="arial" w:cs="arial"/>
          <w:b w:val="0"/>
          <w:i w:val="0"/>
          <w:strike w:val="0"/>
          <w:noProof w:val="0"/>
          <w:color w:val="000000"/>
          <w:position w:val="0"/>
          <w:sz w:val="20"/>
          <w:u w:val="none"/>
          <w:vertAlign w:val="baseline"/>
        </w:rPr>
        <w:t xml:space="preserve"> Civil Action No. 1:15-cv-01366. On August 24, 2015, the United States filed a Complaint alleging that Third Point Offshore Fund, Ltd., Third Point Ultra, Ltd., and Third Point Partners Qualified L.P. (collectively "the Defendant Funds") violated the premerger </w:t>
      </w:r>
      <w:r>
        <w:rPr>
          <w:rFonts w:ascii="arial" w:eastAsia="arial" w:hAnsi="arial" w:cs="arial"/>
          <w:b/>
          <w:i w:val="0"/>
          <w:strike w:val="0"/>
          <w:noProof w:val="0"/>
          <w:color w:val="000000"/>
          <w:position w:val="0"/>
          <w:sz w:val="20"/>
          <w:u w:val="none"/>
          <w:vertAlign w:val="baseline"/>
        </w:rPr>
        <w:t> [*52501] </w:t>
      </w:r>
      <w:r>
        <w:rPr>
          <w:rFonts w:ascii="arial" w:eastAsia="arial" w:hAnsi="arial" w:cs="arial"/>
          <w:b w:val="0"/>
          <w:i w:val="0"/>
          <w:strike w:val="0"/>
          <w:noProof w:val="0"/>
          <w:color w:val="000000"/>
          <w:position w:val="0"/>
          <w:sz w:val="20"/>
          <w:u w:val="none"/>
          <w:vertAlign w:val="baseline"/>
        </w:rPr>
        <w:t xml:space="preserve"> notification and reporting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in connection with the acquisition of voting securities of Yahoo! Inc. The proposed Final Judgment, filed at the same time as the Complaint, prohibits the Defendant Funds, along with Defendant Third Point LLC, from acquiring a reportable amount of voting securities of an issuer in reliance on the exemption from the HSR Act of acquisitions made solely for the purpose of investment if they have taken certain specified actions in the four months prior to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at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450 Fifth Street NW., Suite 1010, Washington, DC 20530 (telephone: 202-514-2481), on the Department of Justice's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Daniel P. Ducore, Special Attorney, c/o Federal Trade Commission, Washington, DC 20580, </w:t>
      </w:r>
      <w:hyperlink r:id="rId11" w:history="1">
        <w:r>
          <w:rPr>
            <w:rFonts w:ascii="arial" w:eastAsia="arial" w:hAnsi="arial" w:cs="arial"/>
            <w:b w:val="0"/>
            <w:i/>
            <w:strike w:val="0"/>
            <w:noProof w:val="0"/>
            <w:color w:val="0077CC"/>
            <w:position w:val="0"/>
            <w:sz w:val="20"/>
            <w:u w:val="single"/>
            <w:vertAlign w:val="baseline"/>
          </w:rPr>
          <w:t>dducore@ftc.gov</w:t>
        </w:r>
      </w:hyperlink>
      <w:r>
        <w:rPr>
          <w:rFonts w:ascii="arial" w:eastAsia="arial" w:hAnsi="arial" w:cs="arial"/>
          <w:b w:val="0"/>
          <w:i w:val="0"/>
          <w:strike w:val="0"/>
          <w:noProof w:val="0"/>
          <w:color w:val="000000"/>
          <w:position w:val="0"/>
          <w:sz w:val="20"/>
          <w:u w:val="none"/>
          <w:vertAlign w:val="baseline"/>
        </w:rPr>
        <w:t xml:space="preserve"> (telephone: 202-326-2526).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c/o Department of Justice,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Third Point Offshore Fund, Ltd., c/o Walkers, 190 Elgin Avenue, George Town, Grand Cayman KY1-9001, Cayman Islands, Third Point Ultra, Ltd., c/o Walkers Chambers, 171 Main Street, P.O. Box 92, Road Town, Tortola, British Virgin Islands, Third Point Partners Qualified L.P., 390 Park Ave, 19th Floor, New York, NY 10022, and Third Point, LLC, 390 Park Ave., 19th Floor, New York, NY 10022,</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08/24/2015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 FOR INJUNCTIVE RELIEF FOR FAILURE TO COMPLY WITH THE PREMERGER REPORTING AND WAITING REQUIREMENTS OF THE HART-SCOTT-RODINO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Plaintiff, by its attorneys, acting under the direction of the Attorney General of the United States and at the request of the Federal Trade Commission,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obtain injunctive relief against Defendants Third Point Offshore Fund, Ltd. ("Third Point Offshore"), Third Point Ultra, Ltd. ("Third Point Ultra"), Third Point Partners Qualified L.P. ("Third Point Partners") (collectively, "Defendant Funds"), and Third Point LLC (together with the Defendant Funds collectively, "Defendants"). Plaintiff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NATURE OF THE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Defendant Funds violated the notice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("HSR Act" or "Act"), with respect to the acquisition of voting securities of Yahoo! Inc. ("Yahoo") in August and September 2011.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Court has jurisdiction over the subject matter of this action pursuant to Section 7A(g) of the Clayton Act, </w:t>
      </w:r>
      <w:hyperlink r:id="rId9" w:history="1">
        <w:r>
          <w:rPr>
            <w:rFonts w:ascii="arial" w:eastAsia="arial" w:hAnsi="arial" w:cs="arial"/>
            <w:b w:val="0"/>
            <w:i/>
            <w:strike w:val="0"/>
            <w:noProof w:val="0"/>
            <w:color w:val="0077CC"/>
            <w:position w:val="0"/>
            <w:sz w:val="20"/>
            <w:u w:val="single"/>
            <w:vertAlign w:val="baseline"/>
          </w:rPr>
          <w:t>15 U.S.C. 18a(g)</w:t>
        </w:r>
      </w:hyperlink>
      <w:r>
        <w:rPr>
          <w:rFonts w:ascii="arial" w:eastAsia="arial" w:hAnsi="arial" w:cs="arial"/>
          <w:b w:val="0"/>
          <w:i w:val="0"/>
          <w:strike w:val="0"/>
          <w:noProof w:val="0"/>
          <w:color w:val="000000"/>
          <w:position w:val="0"/>
          <w:sz w:val="20"/>
          <w:u w:val="none"/>
          <w:vertAlign w:val="baseline"/>
        </w:rPr>
        <w:t xml:space="preserve">, and pursuant to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1355</w:t>
        </w:r>
      </w:hyperlink>
      <w:r>
        <w:rPr>
          <w:rFonts w:ascii="arial" w:eastAsia="arial" w:hAnsi="arial" w:cs="arial"/>
          <w:b w:val="0"/>
          <w:i w:val="0"/>
          <w:strike w:val="0"/>
          <w:noProof w:val="0"/>
          <w:color w:val="000000"/>
          <w:position w:val="0"/>
          <w:sz w:val="20"/>
          <w:u w:val="none"/>
          <w:vertAlign w:val="baseline"/>
        </w:rPr>
        <w:t>, and over the Defendants by virtue of Defendants' consent, in the Stipulation relating hereto, to the maintenance of this action and entry of the Final Judgment in this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Venue is properly based in this District by virtue of Defendants' consent, in the Stipulation relating hereto, to the maintenance of this action and entry of the Final Judgment in this District.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Defendant Third Point Offshore is an offshore fund organized under the laws of the Cayman Islands, with its principal office and place of business c/o Walkers, 190 Elgin Avenue, George Town, Grand Cayman KY1-9001, Cayman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Defendant Third Point Ultra is an offshore fund organized under the laws of the British Virgin Islands, with its principal office and place of business c/o Walkers Chambers, 171 Main Street, Road Town, Tortola, British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Defendant Third Point Partners is a limited partnership organized under the laws of the State of Delaware, with its principal office and place of business at 390 Park Avenue, 19th Floor, New York, NY 10022.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Defendant Third Point LLC is a limited liability company organized under the laws of the State of Delaware, with its principal office and place of business at 390 Park Avenue, 19th Floor, New York, NY 10022. Third Point LLC makes all the investment decisions for each of the Defendant Funds, including decisions to nominate a candidate to the board of directors of a company in which Defendants have invested or to launch a proxy fight to obtain board representation on behalf of Defendants.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Defendants are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each Defendant Fund had total assets in excess of $ 13.2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Yahoo is a corporation organized under the laws of Delaware with its principal place of business at 701 First Avenue, Sunnyvale, CA 94089. Yahoo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Yahoo had annual net sales in excess of $ 131.9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HART-SCOTT-RODINO ACT AND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HSR Act requires certain acquiring persons and certain persons whose voting securities or assets are acquired to file notifications with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and to observe a waiting period before consummating certain acquisitions of voting securities or assets. </w:t>
      </w:r>
      <w:hyperlink r:id="rId9" w:history="1">
        <w:r>
          <w:rPr>
            <w:rFonts w:ascii="arial" w:eastAsia="arial" w:hAnsi="arial" w:cs="arial"/>
            <w:b w:val="0"/>
            <w:i/>
            <w:strike w:val="0"/>
            <w:noProof w:val="0"/>
            <w:color w:val="0077CC"/>
            <w:position w:val="0"/>
            <w:sz w:val="20"/>
            <w:u w:val="single"/>
            <w:vertAlign w:val="baseline"/>
          </w:rPr>
          <w:t>15 U.S.C. 18a(a)</w:t>
        </w:r>
      </w:hyperlink>
      <w:r>
        <w:rPr>
          <w:rFonts w:ascii="arial" w:eastAsia="arial" w:hAnsi="arial" w:cs="arial"/>
          <w:b w:val="0"/>
          <w:i w:val="0"/>
          <w:strike w:val="0"/>
          <w:noProof w:val="0"/>
          <w:color w:val="000000"/>
          <w:position w:val="0"/>
          <w:sz w:val="20"/>
          <w:u w:val="none"/>
          <w:vertAlign w:val="baseline"/>
        </w:rPr>
        <w:t xml:space="preserve"> and (b). The HSR Act's notification and waiting period are intended to give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prior notice of, and information about, proposed transactions. The waiting period is also intended to provide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with an opportunity to investigate a proposed transaction and to determine whether to seek an injunction to prevent the consummation of a transaction that may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The HSR Act's notification and waiting period requirements apply to acquisitions that meet the HSR Act's thresholds, which are adjusted annually. During the period of 2011 </w:t>
      </w:r>
      <w:r>
        <w:rPr>
          <w:rFonts w:ascii="arial" w:eastAsia="arial" w:hAnsi="arial" w:cs="arial"/>
          <w:b/>
          <w:i w:val="0"/>
          <w:strike w:val="0"/>
          <w:noProof w:val="0"/>
          <w:color w:val="000000"/>
          <w:position w:val="0"/>
          <w:sz w:val="20"/>
          <w:u w:val="none"/>
          <w:vertAlign w:val="baseline"/>
        </w:rPr>
        <w:t> [*52502] </w:t>
      </w:r>
      <w:r>
        <w:rPr>
          <w:rFonts w:ascii="arial" w:eastAsia="arial" w:hAnsi="arial" w:cs="arial"/>
          <w:b w:val="0"/>
          <w:i w:val="0"/>
          <w:strike w:val="0"/>
          <w:noProof w:val="0"/>
          <w:color w:val="000000"/>
          <w:position w:val="0"/>
          <w:sz w:val="20"/>
          <w:u w:val="none"/>
          <w:vertAlign w:val="baseline"/>
        </w:rPr>
        <w:t xml:space="preserve"> pertinent to this Complaint, the HSR Act's reporting and waiting period requirements applied to transactions that would result in the acquiring person holding more than $ 66 million, if certain size of person tests were met, except for certain exempted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Section (c)(9) of the HSR Act, </w:t>
      </w:r>
      <w:hyperlink r:id="rId9" w:history="1">
        <w:r>
          <w:rPr>
            <w:rFonts w:ascii="arial" w:eastAsia="arial" w:hAnsi="arial" w:cs="arial"/>
            <w:b w:val="0"/>
            <w:i/>
            <w:strike w:val="0"/>
            <w:noProof w:val="0"/>
            <w:color w:val="0077CC"/>
            <w:position w:val="0"/>
            <w:sz w:val="20"/>
            <w:u w:val="single"/>
            <w:vertAlign w:val="baseline"/>
          </w:rPr>
          <w:t>15 U.S.C. 18a(c)(9)</w:t>
        </w:r>
      </w:hyperlink>
      <w:r>
        <w:rPr>
          <w:rFonts w:ascii="arial" w:eastAsia="arial" w:hAnsi="arial" w:cs="arial"/>
          <w:b w:val="0"/>
          <w:i w:val="0"/>
          <w:strike w:val="0"/>
          <w:noProof w:val="0"/>
          <w:color w:val="000000"/>
          <w:position w:val="0"/>
          <w:sz w:val="20"/>
          <w:u w:val="none"/>
          <w:vertAlign w:val="baseline"/>
        </w:rPr>
        <w:t>, exempts from the requirements of the HSR Act acquisitions of voting securities "solely for the purpose of investment" if, as a result of the acquisition, the securities held do not exceed 10 percent of the outstanding voting securities of the issuer.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Pursuant to Section (d)(2) of the HSR Act, </w:t>
      </w:r>
      <w:hyperlink r:id="rId9" w:history="1">
        <w:r>
          <w:rPr>
            <w:rFonts w:ascii="arial" w:eastAsia="arial" w:hAnsi="arial" w:cs="arial"/>
            <w:b w:val="0"/>
            <w:i/>
            <w:strike w:val="0"/>
            <w:noProof w:val="0"/>
            <w:color w:val="0077CC"/>
            <w:position w:val="0"/>
            <w:sz w:val="20"/>
            <w:u w:val="single"/>
            <w:vertAlign w:val="baseline"/>
          </w:rPr>
          <w:t>15 U.S.C. 18a(d)(2)</w:t>
        </w:r>
      </w:hyperlink>
      <w:r>
        <w:rPr>
          <w:rFonts w:ascii="arial" w:eastAsia="arial" w:hAnsi="arial" w:cs="arial"/>
          <w:b w:val="0"/>
          <w:i w:val="0"/>
          <w:strike w:val="0"/>
          <w:noProof w:val="0"/>
          <w:color w:val="000000"/>
          <w:position w:val="0"/>
          <w:sz w:val="20"/>
          <w:u w:val="none"/>
          <w:vertAlign w:val="baseline"/>
        </w:rPr>
        <w:t>, the Federal Trade Commission promulgated rules to carry out the purpose of the HSR Act. 16 CFR 801-03 ("HSR Rules"). The HSR Rules, among other things, define terms contained in the HSR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Section 801.2(a) of the HSR Rules, </w:t>
      </w:r>
      <w:hyperlink r:id="rId16" w:history="1">
        <w:r>
          <w:rPr>
            <w:rFonts w:ascii="arial" w:eastAsia="arial" w:hAnsi="arial" w:cs="arial"/>
            <w:b w:val="0"/>
            <w:i/>
            <w:strike w:val="0"/>
            <w:noProof w:val="0"/>
            <w:color w:val="0077CC"/>
            <w:position w:val="0"/>
            <w:sz w:val="20"/>
            <w:u w:val="single"/>
            <w:vertAlign w:val="baseline"/>
          </w:rPr>
          <w:t>16 CFR 801.2(a)</w:t>
        </w:r>
      </w:hyperlink>
      <w:r>
        <w:rPr>
          <w:rFonts w:ascii="arial" w:eastAsia="arial" w:hAnsi="arial" w:cs="arial"/>
          <w:b w:val="0"/>
          <w:i w:val="0"/>
          <w:strike w:val="0"/>
          <w:noProof w:val="0"/>
          <w:color w:val="000000"/>
          <w:position w:val="0"/>
          <w:sz w:val="20"/>
          <w:u w:val="none"/>
          <w:vertAlign w:val="baseline"/>
        </w:rPr>
        <w:t>, provides that "[a]ny person which, as a result of an acquisition, will hold voting securities" is deemed an "acquiring person."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Section 801.1(a)(1) of the HSR Rules, </w:t>
      </w:r>
      <w:hyperlink r:id="rId17" w:history="1">
        <w:r>
          <w:rPr>
            <w:rFonts w:ascii="arial" w:eastAsia="arial" w:hAnsi="arial" w:cs="arial"/>
            <w:b w:val="0"/>
            <w:i/>
            <w:strike w:val="0"/>
            <w:noProof w:val="0"/>
            <w:color w:val="0077CC"/>
            <w:position w:val="0"/>
            <w:sz w:val="20"/>
            <w:u w:val="single"/>
            <w:vertAlign w:val="baseline"/>
          </w:rPr>
          <w:t>16 CFR 801.1(a)(1)</w:t>
        </w:r>
      </w:hyperlink>
      <w:r>
        <w:rPr>
          <w:rFonts w:ascii="arial" w:eastAsia="arial" w:hAnsi="arial" w:cs="arial"/>
          <w:b w:val="0"/>
          <w:i w:val="0"/>
          <w:strike w:val="0"/>
          <w:noProof w:val="0"/>
          <w:color w:val="000000"/>
          <w:position w:val="0"/>
          <w:sz w:val="20"/>
          <w:u w:val="none"/>
          <w:vertAlign w:val="baseline"/>
        </w:rPr>
        <w:t>, provides that the term "person" means "an ultimate parent entity and all entities which it controls directly or indirectly."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Section 801.1(a)(3) of the HSR Rules, </w:t>
      </w:r>
      <w:hyperlink r:id="rId17" w:history="1">
        <w:r>
          <w:rPr>
            <w:rFonts w:ascii="arial" w:eastAsia="arial" w:hAnsi="arial" w:cs="arial"/>
            <w:b w:val="0"/>
            <w:i/>
            <w:strike w:val="0"/>
            <w:noProof w:val="0"/>
            <w:color w:val="0077CC"/>
            <w:position w:val="0"/>
            <w:sz w:val="20"/>
            <w:u w:val="single"/>
            <w:vertAlign w:val="baseline"/>
          </w:rPr>
          <w:t>16 CFR 801.1(a)(3)</w:t>
        </w:r>
      </w:hyperlink>
      <w:r>
        <w:rPr>
          <w:rFonts w:ascii="arial" w:eastAsia="arial" w:hAnsi="arial" w:cs="arial"/>
          <w:b w:val="0"/>
          <w:i w:val="0"/>
          <w:strike w:val="0"/>
          <w:noProof w:val="0"/>
          <w:color w:val="000000"/>
          <w:position w:val="0"/>
          <w:sz w:val="20"/>
          <w:u w:val="none"/>
          <w:vertAlign w:val="baseline"/>
        </w:rPr>
        <w:t>, provides that the term "ultimate parent entity" means "an entity which is not controlled by any other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Each of the Defendant Funds is its own ultimate parent entity and Defendant Third Point LLC does not control any of the Defendant Funds within the meaning of the HSR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Pursuant to Section 801.13(a)(1) of the HSR Rules, </w:t>
      </w:r>
      <w:hyperlink r:id="rId18" w:history="1">
        <w:r>
          <w:rPr>
            <w:rFonts w:ascii="arial" w:eastAsia="arial" w:hAnsi="arial" w:cs="arial"/>
            <w:b w:val="0"/>
            <w:i/>
            <w:strike w:val="0"/>
            <w:noProof w:val="0"/>
            <w:color w:val="0077CC"/>
            <w:position w:val="0"/>
            <w:sz w:val="20"/>
            <w:u w:val="single"/>
            <w:vertAlign w:val="baseline"/>
          </w:rPr>
          <w:t>16 CFR 801.13(a)(1)</w:t>
        </w:r>
      </w:hyperlink>
      <w:r>
        <w:rPr>
          <w:rFonts w:ascii="arial" w:eastAsia="arial" w:hAnsi="arial" w:cs="arial"/>
          <w:b w:val="0"/>
          <w:i w:val="0"/>
          <w:strike w:val="0"/>
          <w:noProof w:val="0"/>
          <w:color w:val="000000"/>
          <w:position w:val="0"/>
          <w:sz w:val="20"/>
          <w:u w:val="none"/>
          <w:vertAlign w:val="baseline"/>
        </w:rPr>
        <w:t>, "all voting securities of [an] issuer which will be held by the acquiring person after the consummation of an acquisition"--including any held before the acquisition--are deemed held "as a result of" the acquisition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Pursuant to Sections 801.13(a)(2) and 801.10(c)(1) of the HSR Rules, </w:t>
      </w:r>
      <w:hyperlink r:id="rId18" w:history="1">
        <w:r>
          <w:rPr>
            <w:rFonts w:ascii="arial" w:eastAsia="arial" w:hAnsi="arial" w:cs="arial"/>
            <w:b w:val="0"/>
            <w:i/>
            <w:strike w:val="0"/>
            <w:noProof w:val="0"/>
            <w:color w:val="0077CC"/>
            <w:position w:val="0"/>
            <w:sz w:val="20"/>
            <w:u w:val="single"/>
            <w:vertAlign w:val="baseline"/>
          </w:rPr>
          <w:t>16 CFR 801.13(a)(2)</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801.10(c)(1)</w:t>
        </w:r>
      </w:hyperlink>
      <w:r>
        <w:rPr>
          <w:rFonts w:ascii="arial" w:eastAsia="arial" w:hAnsi="arial" w:cs="arial"/>
          <w:b w:val="0"/>
          <w:i w:val="0"/>
          <w:strike w:val="0"/>
          <w:noProof w:val="0"/>
          <w:color w:val="000000"/>
          <w:position w:val="0"/>
          <w:sz w:val="20"/>
          <w:u w:val="none"/>
          <w:vertAlign w:val="baseline"/>
        </w:rPr>
        <w:t>, the value of voting securities already held is the market price, defined to be the lowest closing price within 45 days prior to the subsequent acquisition.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Section 801.1(i)(1) of the HSR Rules, </w:t>
      </w:r>
      <w:hyperlink r:id="rId17" w:history="1">
        <w:r>
          <w:rPr>
            <w:rFonts w:ascii="arial" w:eastAsia="arial" w:hAnsi="arial" w:cs="arial"/>
            <w:b w:val="0"/>
            <w:i/>
            <w:strike w:val="0"/>
            <w:noProof w:val="0"/>
            <w:color w:val="0077CC"/>
            <w:position w:val="0"/>
            <w:sz w:val="20"/>
            <w:u w:val="single"/>
            <w:vertAlign w:val="baseline"/>
          </w:rPr>
          <w:t>16 CFR 801.1(i)(1)</w:t>
        </w:r>
      </w:hyperlink>
      <w:r>
        <w:rPr>
          <w:rFonts w:ascii="arial" w:eastAsia="arial" w:hAnsi="arial" w:cs="arial"/>
          <w:b w:val="0"/>
          <w:i w:val="0"/>
          <w:strike w:val="0"/>
          <w:noProof w:val="0"/>
          <w:color w:val="000000"/>
          <w:position w:val="0"/>
          <w:sz w:val="20"/>
          <w:u w:val="none"/>
          <w:vertAlign w:val="baseline"/>
        </w:rPr>
        <w:t>, defines the term "solely for the purpose of investment"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securities are held or acquired "solely for the purpose of investment" if the person holding or acquiring such voting securities has no intention of participating in the formulation, determination, or direction of the basic business decisions of the issuer.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Section 7A(g)(2) of the Clayton Act, </w:t>
      </w:r>
      <w:hyperlink r:id="rId9" w:history="1">
        <w:r>
          <w:rPr>
            <w:rFonts w:ascii="arial" w:eastAsia="arial" w:hAnsi="arial" w:cs="arial"/>
            <w:b w:val="0"/>
            <w:i/>
            <w:strike w:val="0"/>
            <w:noProof w:val="0"/>
            <w:color w:val="0077CC"/>
            <w:position w:val="0"/>
            <w:sz w:val="20"/>
            <w:u w:val="single"/>
            <w:vertAlign w:val="baseline"/>
          </w:rPr>
          <w:t>15 U.S.C. 18a(g)(2)</w:t>
        </w:r>
      </w:hyperlink>
      <w:r>
        <w:rPr>
          <w:rFonts w:ascii="arial" w:eastAsia="arial" w:hAnsi="arial" w:cs="arial"/>
          <w:b w:val="0"/>
          <w:i w:val="0"/>
          <w:strike w:val="0"/>
          <w:noProof w:val="0"/>
          <w:color w:val="000000"/>
          <w:position w:val="0"/>
          <w:sz w:val="20"/>
          <w:u w:val="none"/>
          <w:vertAlign w:val="baseline"/>
        </w:rPr>
        <w:t>, provides that if any person fails substantially to comply with the notification requirement under the HSR Act, the district court may grant such equitable relief as the court in its discretion determines necessary or appropriate, upon application of the Federal Trade Commission or the Assistant Attorney General.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VIOLATIONS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Plaintiff alleges and incorporates paragraphs 1 through 21 as if set forth fully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On or about August 8, 2011, Third Point LLC began acquiring voting securities of Yahoo on behalf of the Defendant Funds. In general, the voting securities were allocated to each Defendant Fund, as well as to other investment funds managed by Third Point LLC, in proportion to such fund's total capital. These acquisitions were accomplished by open market purchases through the NASDAQ Stock Market. Defendant Funds continued to acquire voting securities of Yahoo after August 8, 2011. Other than the Defendant Funds, no fund managed by Third Point LLC held Yahoo voting securities in excess of the HSR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On or about August 10, 2011, Defendant Third Point Offshore's aggregate value of Yahoo voting securities exceeded $ 66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On or about August 17, 2011, Defendant Third Point Ultra's aggregate value of Yahoo voting securities exceeded $ 66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On or about August 30, 2011, Defendant Third Point Partners' aggregate value of Yahoo voting securities exceeded $ 66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Third Point LLC continued to acquire voting securities of Yahoo on behalf of the Defendant Funds through September 8, 2011, when Third Point LLC filed a Schedule 13D with the Securities and Exchange Commission publicly disclosing the Defendant Funds' holdings in Yahoo.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The transactions described in Paragraphs 24 through 27 were subject to the notification and waiting periods of the HSR Act and the HSR Rules. The HSR Act and HSR Rules in effect during the time period pertinent to this proceeding required that each Defendant Fund file a notification and report form with the Department of Justice and the Federal Trade Commission and observe a waiting period before acquiring and holding an aggregate total amount of voting securities of Yahoo in excess of $ 66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The Defendant Funds did not comply with the reporting and waiting period requirements of the HSR Act and HSR Rules in connection with the transactions described in Paragraphs 24 through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Defendants cannot demonstrate that any of the HSR Act's exemptions applied to the transactions described in Paragraphs 24 through 27. In particular, Defendants' intent when making these acquisitions was inconsistent with the exemption for acquisitions made "solely for the purpose of investment." Defendants' intent to acquire voting securities of Yahoo other than solely for the purpose of investment is evidenced by the following acts, among others, contemporaneous with the acquisitions. Defendants and/or their agents: contacted certain individuals to gauge their interest and willingness to become the CEO of Yahoo or a potential board candidate of Yahoo; took other steps to assemble an alternate slate of board of directors for Yahoo; drafted correspondence to Yahoo to announce that Third Point LLC was prepared to join the board of Yahoo; internally deliberated the possible launch of a proxy battle for directors of Yahoo; and made public statements that they were prepared to propose a slate of directors at Yahoo's next annual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On or about September 16, 2011, each of the Defendant Funds filed a notification and report form under the HSR Act with the Department of Justice and the Federal Trade Commission. The waiting period relating to these filings expired on or about October 17,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Defendant Third Point Offshore was in violation of the HSR Act each day during the period beginning on August 10, 2011, and ending on or about October 17,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Defendant Third Point Ultra was in violation of the HSR Act each day during the period beginning on August 17, 2011, and ending on or about October 17,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Defendant Third Point Partners was in violation of the HSR Act each day during the period beginning on August 30, 2011, and ending on or about October 17,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Section (g)(2) of the HSR Act, </w:t>
      </w:r>
      <w:hyperlink r:id="rId9" w:history="1">
        <w:r>
          <w:rPr>
            <w:rFonts w:ascii="arial" w:eastAsia="arial" w:hAnsi="arial" w:cs="arial"/>
            <w:b w:val="0"/>
            <w:i/>
            <w:strike w:val="0"/>
            <w:noProof w:val="0"/>
            <w:color w:val="0077CC"/>
            <w:position w:val="0"/>
            <w:sz w:val="20"/>
            <w:u w:val="single"/>
            <w:vertAlign w:val="baseline"/>
          </w:rPr>
          <w:t>15 U.S.C. 18a(g)(2)</w:t>
        </w:r>
      </w:hyperlink>
      <w:r>
        <w:rPr>
          <w:rFonts w:ascii="arial" w:eastAsia="arial" w:hAnsi="arial" w:cs="arial"/>
          <w:b w:val="0"/>
          <w:i w:val="0"/>
          <w:strike w:val="0"/>
          <w:noProof w:val="0"/>
          <w:color w:val="000000"/>
          <w:position w:val="0"/>
          <w:sz w:val="20"/>
          <w:u w:val="none"/>
          <w:vertAlign w:val="baseline"/>
        </w:rPr>
        <w:t>, provides that if any person fails substantially to comply with the notification requirement under the HSR Act, the district court may grant such equitable relief as the court in its discretion determines necessary or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Wherefore, Plaintiff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That the Court adjudge and decree that Defendant Third Point Offshore's acquisition of Yahoo voting securities on August 10, 2011, without having </w:t>
      </w:r>
      <w:r>
        <w:rPr>
          <w:rFonts w:ascii="arial" w:eastAsia="arial" w:hAnsi="arial" w:cs="arial"/>
          <w:b/>
          <w:i w:val="0"/>
          <w:strike w:val="0"/>
          <w:noProof w:val="0"/>
          <w:color w:val="000000"/>
          <w:position w:val="0"/>
          <w:sz w:val="20"/>
          <w:u w:val="none"/>
          <w:vertAlign w:val="baseline"/>
        </w:rPr>
        <w:t> [*52503] </w:t>
      </w:r>
      <w:r>
        <w:rPr>
          <w:rFonts w:ascii="arial" w:eastAsia="arial" w:hAnsi="arial" w:cs="arial"/>
          <w:b w:val="0"/>
          <w:i w:val="0"/>
          <w:strike w:val="0"/>
          <w:noProof w:val="0"/>
          <w:color w:val="000000"/>
          <w:position w:val="0"/>
          <w:sz w:val="20"/>
          <w:u w:val="none"/>
          <w:vertAlign w:val="baseline"/>
        </w:rPr>
        <w:t xml:space="preserve"> filed a notification and report form and observed a waiting period, violated the HSR Act; and that Defendant Third Point Offshore was in violation of the HSR Act each day from August 8, 2011, through October 17,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the Court adjudge and decree that Defendant Third Point Ultra's acquisition of Yahoo voting securities on August 17, 2011, without having filed a notification and report form and observed a waiting period, violated the HSR Act; and that Defendant Third Point Ultra was in violation of the HSR Act each day from August 17, 2011, through October 17,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the Court adjudge and decree that Defendant Third Point Partners' acquisition of Yahoo voting securities on August 30, 2011, without having filed a notification and report form and observed a waiting period, violated the HSR Act; and that Defendant Third Point Partners was in violation of the HSR Act each day from August 30, 2011, through October 17,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That the Court adjudge and decree that Defendant Third Point LLC had the power and authority to prevent the violations by the Defendant Funds, and that relief against Third Point LLC is necessary and appropriate to ensure future compliance with the HSR Act by the Defendant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That the Court issue an appropriate injunction preventing future violations by the Defendants as provided by the HSR Act, </w:t>
      </w:r>
      <w:hyperlink r:id="rId9" w:history="1">
        <w:r>
          <w:rPr>
            <w:rFonts w:ascii="arial" w:eastAsia="arial" w:hAnsi="arial" w:cs="arial"/>
            <w:b w:val="0"/>
            <w:i/>
            <w:strike w:val="0"/>
            <w:noProof w:val="0"/>
            <w:color w:val="0077CC"/>
            <w:position w:val="0"/>
            <w:sz w:val="20"/>
            <w:u w:val="single"/>
            <w:vertAlign w:val="baseline"/>
          </w:rPr>
          <w:t>15 U.S.C. 18a(g)(2)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That the Court order such other and further relief as the Court may deem just and proper;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That the Court award the Plaintiff its costs of this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 (D.C. Bar #324723)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___/s/___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P. Ducore (D.C. Bar #933721)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A. Piotrowski (D.C. Bar #348052)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A. Libby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Lee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THIRD POINT OFFSHORE FUND, LTD., THIRD POINT ULTRA, LTD., THIRD POINT PARTNERS QUALIFIED L.P.,</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THIRD POINT, LLC,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08/24/2015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to set forth the information necessary to enable the Court and the public to evaluate the proposed Final Judgment that would terminate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24, 2015, the United States filed a Complaint against Third Point Offshore Fund, Ltd. ("Offshore"), Third Point Ultra, Ltd. ("Ultra"), Third Point Partners Qualified L.P. ("Qualified") (collectively "the Defendant Funds"), and Third Point LLC (together with the Defendant Funds collectively, "Defendants") related to the Defendant Funds' acquisition of voting securities of Yahoo! Inc. ("Yahoo") in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Defendant Funds violated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(the "HSR Act"). The HSR Act requires certain acquiring and acquired parties to file pre-acquisition Notification and Report Forms with the Department of Justice and the Federal Trade Commission (collectively,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or "agencies") and to observe a statutorily mandated waiting period before consummating their acquisition. n1 The fundamental purpose of the notification and waiting period is to allow the agencies an opportunity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proposed transactions that meet the HSR Act's jurisdictional thresholds before they are consummated. The Complaint alleges that the Defendant Funds each acquired voting securities of Yahoo in excess of the statutory thresholds without making the required filings with the agencies and without observing the waiting period, and that the Defendant Funds and Yahoo each meet the statutory size of person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HSR Act requires that "no person shall acquire, directly or indirectly, any voting securities of any person" exceeding certain thresholds until both have made premerger notification filings and the post-filing waiting period has expired. </w:t>
      </w:r>
      <w:hyperlink r:id="rId9" w:history="1">
        <w:r>
          <w:rPr>
            <w:rFonts w:ascii="arial" w:eastAsia="arial" w:hAnsi="arial" w:cs="arial"/>
            <w:b w:val="0"/>
            <w:i/>
            <w:strike w:val="0"/>
            <w:noProof w:val="0"/>
            <w:color w:val="0077CC"/>
            <w:position w:val="0"/>
            <w:sz w:val="20"/>
            <w:u w:val="single"/>
            <w:vertAlign w:val="baseline"/>
          </w:rPr>
          <w:t>15 U.S.C. 18a(a)</w:t>
        </w:r>
      </w:hyperlink>
      <w:r>
        <w:rPr>
          <w:rFonts w:ascii="arial" w:eastAsia="arial" w:hAnsi="arial" w:cs="arial"/>
          <w:b w:val="0"/>
          <w:i w:val="0"/>
          <w:strike w:val="0"/>
          <w:noProof w:val="0"/>
          <w:color w:val="000000"/>
          <w:position w:val="0"/>
          <w:sz w:val="20"/>
          <w:u w:val="none"/>
          <w:vertAlign w:val="baseline"/>
        </w:rPr>
        <w:t xml:space="preserve">. The post-filing waiting period is either 30 days after filing or, if the relevant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agency requests additional information, 30 days after the parties comply with the agency's request. </w:t>
      </w:r>
      <w:hyperlink r:id="rId9" w:history="1">
        <w:r>
          <w:rPr>
            <w:rFonts w:ascii="arial" w:eastAsia="arial" w:hAnsi="arial" w:cs="arial"/>
            <w:b w:val="0"/>
            <w:i/>
            <w:strike w:val="0"/>
            <w:noProof w:val="0"/>
            <w:color w:val="0077CC"/>
            <w:position w:val="0"/>
            <w:sz w:val="20"/>
            <w:u w:val="single"/>
            <w:vertAlign w:val="baseline"/>
          </w:rPr>
          <w:t>15 U.S.C. 18a(b)</w:t>
        </w:r>
      </w:hyperlink>
      <w:r>
        <w:rPr>
          <w:rFonts w:ascii="arial" w:eastAsia="arial" w:hAnsi="arial" w:cs="arial"/>
          <w:b w:val="0"/>
          <w:i w:val="0"/>
          <w:strike w:val="0"/>
          <w:noProof w:val="0"/>
          <w:color w:val="000000"/>
          <w:position w:val="0"/>
          <w:sz w:val="20"/>
          <w:u w:val="none"/>
          <w:vertAlign w:val="baseline"/>
        </w:rPr>
        <w:t xml:space="preserve">. The agencies may grant early termination of the waiting period, </w:t>
      </w:r>
      <w:hyperlink r:id="rId9" w:history="1">
        <w:r>
          <w:rPr>
            <w:rFonts w:ascii="arial" w:eastAsia="arial" w:hAnsi="arial" w:cs="arial"/>
            <w:b w:val="0"/>
            <w:i/>
            <w:strike w:val="0"/>
            <w:noProof w:val="0"/>
            <w:color w:val="0077CC"/>
            <w:position w:val="0"/>
            <w:sz w:val="20"/>
            <w:u w:val="single"/>
            <w:vertAlign w:val="baseline"/>
          </w:rPr>
          <w:t>15 U.S.C. 18a(b)(2)</w:t>
        </w:r>
      </w:hyperlink>
      <w:r>
        <w:rPr>
          <w:rFonts w:ascii="arial" w:eastAsia="arial" w:hAnsi="arial" w:cs="arial"/>
          <w:b w:val="0"/>
          <w:i w:val="0"/>
          <w:strike w:val="0"/>
          <w:noProof w:val="0"/>
          <w:color w:val="000000"/>
          <w:position w:val="0"/>
          <w:sz w:val="20"/>
          <w:u w:val="none"/>
          <w:vertAlign w:val="baseline"/>
        </w:rPr>
        <w:t xml:space="preserve">, and often do so when an acquisition poses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problems.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further alleges that the Defendant Funds could not rely on the HSR Act's exemption for acquisitions made solely for the purpose of investment ("investment-only exemption") because they could not show they had "no intention of participating in the formulation, determination, or direction of the basic business decisions of the issuer," as the exemption is defined in the rules promulgated under the HSR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16 CFR 801.1(i)(1)</w:t>
        </w:r>
      </w:hyperlink>
      <w:r>
        <w:rPr>
          <w:rFonts w:ascii="arial" w:eastAsia="arial" w:hAnsi="arial" w:cs="arial"/>
          <w:b w:val="0"/>
          <w:i w:val="0"/>
          <w:strike w:val="0"/>
          <w:noProof w:val="0"/>
          <w:color w:val="000000"/>
          <w:position w:val="0"/>
          <w:sz w:val="20"/>
          <w:u w:val="none"/>
          <w:vertAlign w:val="baseline"/>
        </w:rPr>
        <w:t>. The Complaint alleges that the Defendants and/or their agents engaged in a number of acts that showed an intent inconsistent with the exemption. The Complaint seeks an adjudication that the Defendant Funds' acquisitions of voting securities of Yahoo violated the HSR Act, and asks the Court to issue an appropriate injunction.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Complaint was filed, the United States also filed a Stipulation and Order and proposed Final Judgment, which are designed to prevent and restrain Defendants' HSR Act violations. Under the proposed Final Judgment, which is explained more fully below, Defendants are prohibited from acquiring voting securities without observing the HSR Act's notification and waiting period requirements in reliance on the investment-only exemption if they have engaged in certain specified acts during the four (4) months prior to an acquisition that is otherwise reportable under the Act, unless they have affirmatively stated that they are not pursuing board or management representation with respect to the issuer of those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and the Defendants have stipulated that the proposed Final Judgment may be entered after compliance with the APPA, unless the United States first withdraws its consent. Entry of the proposed Final Judgment would terminate this case, except that the Court would retain jurisdiction to construe, modify, or enforce the provisions of the proposed Final Judgment and punish violations thereof. Entry of this judgment would not constitute evidence against, or an admission by, any party with respect to any issue of fact or law involved in the case and is conditioned upon the Court's finding that entry is in the public interest. </w:t>
      </w:r>
      <w:r>
        <w:rPr>
          <w:rFonts w:ascii="arial" w:eastAsia="arial" w:hAnsi="arial" w:cs="arial"/>
          <w:b/>
          <w:i w:val="0"/>
          <w:strike w:val="0"/>
          <w:noProof w:val="0"/>
          <w:color w:val="000000"/>
          <w:position w:val="0"/>
          <w:sz w:val="20"/>
          <w:u w:val="none"/>
          <w:vertAlign w:val="baseline"/>
        </w:rPr>
        <w:t> [*52504]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DESCRIPTION OF THE EVENTS GIVING RISE TO THE ALLEGED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Defendants and the Acquisitions of Yahoo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Offshore is an offshore fund organized under the laws of the Cayman Islands, with offices at c/o Walkers, 190 Elgin Avenue, George Town, Grand Cayman KY1-9001, Cayman Islands. Offshore invests in securities and other investments on behalf of its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Ultra is an offshore fund organized under the laws of the British Virgin Islands, with offices at c/o Walkers Chambers, 171 Main Street, Road Town, Tortola, British Virgin Islands. Ultra invests in securities and other investments on behalf of its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Partners is a limited partnership organized under the laws of the State of Delaware, with offices at 390 Park Avenue, 19th Floor, New York, NY 10022. Partners invests in securities and other investments on behalf of its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Point LLC is a limited liability company organized under the laws of the State of Delaware, with its principal place of business at 390 Park Avenue, 19th Floor, New York, NY 10022. Third Point LLC makes all the investment decisions for each of the Defendant Funds, including decisions to nominate a candidate to the board of directors of a company in which Defendants have invested, or to launch a proxy fight to obtain board representation on behalf of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8, 2011, Third Point LLC began acquiring voting securities of Yahoo on behalf of the Defendant Funds. In general, the voting securities were allocated to each Defendant Fund, as well as to other investment funds managed by Third Point LLC, in proportion to such fund's total capital. Other than the Defendant Funds, no fund managed by Third Point LLC held Yahoo voting securities in excess of the HSR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10, 2011, the value of Offshore's holdings of Yahoo voting securities exceeded the HSR Act's $ 66 million size-of-transaction threshold then in effect. On August 17, 2011, the value of Ultra's holdings of Yahoo voting securities exceeded $ 66 million. On August 30, 2011, the value of Partners' holdings of Yahoo voting securities exceeded $ 66 million. Third Point LLC continued to acquire voting securities of Yahoo on behalf of the Defendant Funds through September 8, 2011, when Third Point LLC filed a Schedule 13D with the Securities and Exchange Commission publicly disclosing the Defendant Funds' holdings in Yahoo.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16, 2011, the Defendant Funds each filed a Notification and Report Form under the HSR Act with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to acquire voting securities of Yahoo. The waiting period on the Notification and Report Forms expired on October 17, 2011.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The Defendant Funds' Unlawful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Compliance with the HSR Act is critical to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ability to investigate large acquisitions before they are consummated, prevent acquisitions determined to be unlawful under Section 7 of the Clayton Act (</w:t>
      </w:r>
      <w:hyperlink r:id="rId20"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design effective divestiture relief when appropriate. Before Congress enacted the HSR Act,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often were forced to investigate anticompetitive acquisitions that had already been consummated without public notice. In those situations, the agencies' only recourse was to sue to unwind the parties' merger. The combined entity usually had the incentive to delay litigation, and years often passed before the case was adjudicated and relief was pursued or obtained. During this extended time, consumers were harmed by the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merging parties and, even after the court's adjudication, effective relief was often impossible to achieve. Congress enacted the HSR Act to address these problems and to strengthen and improve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giving the agencies an opportunity to investigate certain large acquisitions before they are consummated.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alleged in the Complaint, the Defendant Funds each acquired in excess of $ 66 million in voting securities of Yahoo without complying with the pre-merger notification and waiting period requirements of the HSR Act. Defendants' failure to comply undermined the statutory scheme and the purpose of the HSR Act by precluding the agencies' timely review of the Defendants' acquisitions.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further alleges that the Defendant Funds could not rely on the HSR Act's investment-only exemption because, at the time of the acquisitions, they were engaging in activities that evidenced an intent inconsistent with the exemption. Namely, the Defendants and/or their agents contacted certain individuals to gauge their interest and willingness to become the CEO of Yahoo or a potential board candidate of Yahoo; took other steps to assemble an alternate slate of board of directors for Yahoo; drafted correspondence to Yahoo to announce that Third Point LLC was prepared to join the board of Yahoo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propose Third Point people as candidates for the board of Yahoo); internally deliberated the possible launch of a proxy battle for directors of Yahoo; and made public statements that they were prepared to propose a slate of directors at Yahoo's next annual meeting. These actions were inconsistent with the exemption's requirement that an acquiring person have "no intention of participating in the formulation, determination, or direction of the basic business decisions of the issuer."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16 CFR 801.1(i)(1)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contains injunctive relief designed to prevent future violations of the HSR Act. The proposed Final Judgment sets forth specific prohibited conduct, requires that the Defendants maintain a compliance program, and provides access and inspection procedures to enable the United States to determine and ensure compliance with the Final Judgment. The acts that are prohibited by the proposed Final Judgment are not the only activities that might show an intention inconsistent with the investment-only exemption; they are, however, the actions in which the Defendants engaged in this particular case and are therefore appropriately prohibited by the resolution of this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Prohibited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IV of the proposed Final Judgment is designed to prevent future HSR Act violations of the sort alleged in the Complaint. Under this provision, Defendants may not consummate acquisitions of voting securities that would otherwise be subject to the HSR Act's Notification and Reporting requirements, and not otherwise exempt, in reliance on the investment-only exemption if, at the time of an acquisition of a particular issuer, or in the four (4) months prior to the acquisition, Defendants have engaged in certain specified activities. These activities are: Nominating a candidate for the board of directors of the issuer; proposing corporate action requiring shareholder approval; soliciting proxies with respect to such issuer; having a representative serve as an officer or director of the issuer; being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 the issuer; doing any of the above activities with regard to an entity controlled by the issuer; inquiring of a third party as to his or her interest in being a candidate for the board or chief executive officer of the issuer, and not </w:t>
      </w:r>
      <w:r>
        <w:rPr>
          <w:rFonts w:ascii="arial" w:eastAsia="arial" w:hAnsi="arial" w:cs="arial"/>
          <w:b/>
          <w:i w:val="0"/>
          <w:strike w:val="0"/>
          <w:noProof w:val="0"/>
          <w:color w:val="000000"/>
          <w:position w:val="0"/>
          <w:sz w:val="20"/>
          <w:u w:val="none"/>
          <w:vertAlign w:val="baseline"/>
        </w:rPr>
        <w:t> [*52505] </w:t>
      </w:r>
      <w:r>
        <w:rPr>
          <w:rFonts w:ascii="arial" w:eastAsia="arial" w:hAnsi="arial" w:cs="arial"/>
          <w:b w:val="0"/>
          <w:i w:val="0"/>
          <w:strike w:val="0"/>
          <w:noProof w:val="0"/>
          <w:color w:val="000000"/>
          <w:position w:val="0"/>
          <w:sz w:val="20"/>
          <w:u w:val="none"/>
          <w:vertAlign w:val="baseline"/>
        </w:rPr>
        <w:t xml:space="preserve"> abandoning such efforts; communicating with the issuer about potential candidates for the board or chief executive officer of the issuer, and not abandoning such efforts; or assembling a list of possible candidates for the board or chief executive officer of the issuer, if done through, at the instruction of, or with the knowledge of the chief executive officer of Third Point LLC or a person who has the authority to act for Third Point LLC with respect to finding candidates for the board or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 of the proposed Final Judgment sets forth required compliance procedures. Section V sets up an affirmative compliance program directed toward ensuring Defendants' compliance with the limitations imposed by the proposed Final Judgment. The compliance program includes the designation of a compliance officer, who is required to distribute a copy of the Final Judgment to each present and succeeding person who has responsibility for or authority over acquisitions of voting securities by Defendants, and to obtain a certification from each such person that he or she has received a copy of the Final Judgment and understands his or her obligations under the judgment. Additionally, the compliance officer is tasked with providing written instructions, on an annual basis, to all of Defendants' employees regarding the prohibitions contained in the Final Judgment. Lastly, Defendants must file an annual statement with the United States detailing the manner of their compliance with the Final Judgment, including a list of all acquisitions in which they have relied on the investment-only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facilitate monitoring Defendants' compliance with the Final Judgment, Section VI grants duly authorized representatives of the United States Department of Justice ("DOJ") access, upon reasonable notice, to Defendants' records and documents relating to matters contained in the Final Judgment. Defendants must also make its personnel available for interviews or depositions regarding such matters. In addition, Defendants must, upon written request from duly authorized representatives of the Assistant Attorney General in charge of the DOJ's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submit written reports relating to matters contained in the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are designed to prevent recurrence of the type of illegal conduct alleged in the Complaint and ensure that, in future transactions, Defendants do not improperly rely on the HSR Act's investment-only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21"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district court to recover three times the damages the person has suffered, as well as the costs of bringing a lawsuit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xml:space="preserve">, the proposed Final Judgment has no effect as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evidence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this Court after compliance with the provisions of the APPA, provided that the United States has not withdrawn its consent. The APPA conditions entry of the decree upon this Court's determination that the proposed Final Judgment is in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injunction contained in the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The United States will evaluate and respond to comments. All comments received during this period will be considered by the United States, which remains free to withdraw its consent to the proposed Final Judgment at any time prior to entry. The comments and the response of the United States will be filed with this Court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Written comments should be submitted to: Daniel P. Ducore, Special Attorney, United States, c/o Federal Trade Commission, 600 Pennsylvania Avenue NW., Washington, DC 20580, </w:t>
      </w:r>
      <w:hyperlink r:id="rId11" w:history="1">
        <w:r>
          <w:rPr>
            <w:rFonts w:ascii="arial" w:eastAsia="arial" w:hAnsi="arial" w:cs="arial"/>
            <w:b w:val="0"/>
            <w:i/>
            <w:strike w:val="0"/>
            <w:noProof w:val="0"/>
            <w:color w:val="0077CC"/>
            <w:position w:val="0"/>
            <w:sz w:val="20"/>
            <w:u w:val="single"/>
            <w:vertAlign w:val="baseline"/>
          </w:rPr>
          <w:t>dducore@ftc.gov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this Court retains jurisdiction over this action, and the parties may apply to this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proposed Final Judgment, the United States considered a full trial on the merits against the Defendants, including an action for civil penalties. In determining not to seek civil penalties, the United States considered a variety of factors. Chief among them were the fact that the Defendants have no previous record of HSR violations, and that they made their HSR filings within just a few weeks after the date on which they should have filed under the appropriate interpretation of the exemption. In these circumstances, the United States is satisfied that the proposed injunctive relief is sufficient to address the violation alleged in the Complaint and has the added advantage that it gives guidance to similarly-situated entities in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requires that injunctions of anticompetitive conduct contained in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 (60) 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w:t>
      </w:r>
      <w:r>
        <w:rPr>
          <w:rFonts w:ascii="arial" w:eastAsia="arial" w:hAnsi="arial" w:cs="arial"/>
          <w:b/>
          <w:i w:val="0"/>
          <w:strike w:val="0"/>
          <w:noProof w:val="0"/>
          <w:color w:val="000000"/>
          <w:position w:val="0"/>
          <w:sz w:val="20"/>
          <w:u w:val="none"/>
          <w:vertAlign w:val="baseline"/>
        </w:rPr>
        <w:t> [*52506] </w:t>
      </w:r>
      <w:r>
        <w:rPr>
          <w:rFonts w:ascii="arial" w:eastAsia="arial" w:hAnsi="arial" w:cs="arial"/>
          <w:b w:val="0"/>
          <w:i w:val="0"/>
          <w:strike w:val="0"/>
          <w:noProof w:val="0"/>
          <w:color w:val="000000"/>
          <w:position w:val="0"/>
          <w:sz w:val="20"/>
          <w:u w:val="none"/>
          <w:vertAlign w:val="baseline"/>
        </w:rPr>
        <w:t xml:space="preserve"> one as the government is entitled to "broad discretion to settle with the defendant within the reaches of the public interest." </w:t>
      </w:r>
      <w:hyperlink r:id="rId22"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3"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4"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the court has broad discretion of the adequacy of the relief at issue); </w:t>
      </w:r>
      <w:hyperlink r:id="rId25"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6"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7"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2"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n3 In determining whether a proposed settlement is in the public interest, a district court "must accord deference to the government's predictions about the efficacy of its remedies, and may not require that the remedies perfectly match the alleged violations." </w:t>
      </w:r>
      <w:hyperlink r:id="rId23"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2"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9"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Cf. </w:t>
      </w:r>
      <w:hyperlink r:id="rId26"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30"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2"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30"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1"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2"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3"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2"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5"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2"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recently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3"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w:t>
      </w:r>
      <w:r>
        <w:rPr>
          <w:rFonts w:ascii="arial" w:eastAsia="arial" w:hAnsi="arial" w:cs="arial"/>
          <w:b/>
          <w:i w:val="0"/>
          <w:strike w:val="0"/>
          <w:noProof w:val="0"/>
          <w:color w:val="000000"/>
          <w:position w:val="0"/>
          <w:sz w:val="20"/>
          <w:u w:val="none"/>
          <w:vertAlign w:val="baseline"/>
        </w:rPr>
        <w:t> [*52507] </w:t>
      </w:r>
      <w:r>
        <w:rPr>
          <w:rFonts w:ascii="arial" w:eastAsia="arial" w:hAnsi="arial" w:cs="arial"/>
          <w:b w:val="0"/>
          <w:i w:val="0"/>
          <w:strike w:val="0"/>
          <w:noProof w:val="0"/>
          <w:color w:val="000000"/>
          <w:position w:val="0"/>
          <w:sz w:val="20"/>
          <w:u w:val="none"/>
          <w:vertAlign w:val="baseline"/>
        </w:rPr>
        <w:t xml:space="preserve"> the recognition that the court's "scope of review remains sharply proscribed by precedent and the nature of Tunney Act proceedings." </w:t>
      </w:r>
      <w:hyperlink r:id="rId23"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n4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4"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See </w:t>
      </w:r>
      <w:hyperlink r:id="rId32"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3"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August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A. Libby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THIRD POINT OFFSHORE FUND, LTD., THIRD POINT ULTRA, LTD., THIRD POINT PARTNERS QUALIFIED L.P., and THIRD POINT LLC</w:t>
      </w:r>
      <w:r>
        <w:rPr>
          <w:rFonts w:ascii="arial" w:eastAsia="arial" w:hAnsi="arial" w:cs="arial"/>
          <w:b w:val="0"/>
          <w:i w:val="0"/>
          <w:strike w:val="0"/>
          <w:noProof w:val="0"/>
          <w:color w:val="000000"/>
          <w:position w:val="0"/>
          <w:sz w:val="20"/>
          <w:u w:val="none"/>
          <w:vertAlign w:val="baseline"/>
        </w:rPr>
        <w:t>,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08/24/2015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United States of America filed its Complaint on August 24, 2015, alleging that Defendants Third Point Offshore Fund, Ltd., Third Point Ultra, Ltd., and Third Point Partners Qualified L.P. (collectively, "Third Point Funds") violated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(the "HSR Act")), and Plaintiff and Defendants Third Point Funds and Third Point LLC (collectively, "Defendants"), by their respective attorneys, have consented to the entry of this Final Judgment without trial or adjudication of any issue of fact or law, and without this Final Judgment constituting any evidence against, or any admission by, any party regarding any such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and without trial or adjudication of any issue of fact or law, and upon the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this action. The Defendants consent solely for the purpose of this action and the entry of this Final Judgment that this Court has jurisdiction over each of the parties to this action and that the Complaint states a claim upon which relief can be granted.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"Abandonment" means a statement that Defendants are not pursuing Board or Management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"Board or Management Representation" means being a candidate for, or member of, the board of directors or chief executive officer of the relevant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"Board or Management Slate" means a Person or a group of Persons for possible Board or Management Representation.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"Covered Acquisition" means an acquisition of Voting Securities of an Issuer that is subject to the reporting and waiting requirements of the HSR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and that is not otherwise exempt from the requirements of the HSR Act, but for which Defendants have not reported under the HSR Act, in reliance on the exemption pursuant to Section (c)(9) of the HSR Act, </w:t>
      </w:r>
      <w:hyperlink r:id="rId9" w:history="1">
        <w:r>
          <w:rPr>
            <w:rFonts w:ascii="arial" w:eastAsia="arial" w:hAnsi="arial" w:cs="arial"/>
            <w:b w:val="0"/>
            <w:i/>
            <w:strike w:val="0"/>
            <w:noProof w:val="0"/>
            <w:color w:val="0077CC"/>
            <w:position w:val="0"/>
            <w:sz w:val="20"/>
            <w:u w:val="single"/>
            <w:vertAlign w:val="baseline"/>
          </w:rPr>
          <w:t>15 U.S.C. 18a(c)(9)</w:t>
        </w:r>
      </w:hyperlink>
      <w:r>
        <w:rPr>
          <w:rFonts w:ascii="arial" w:eastAsia="arial" w:hAnsi="arial" w:cs="arial"/>
          <w:b w:val="0"/>
          <w:i w:val="0"/>
          <w:strike w:val="0"/>
          <w:noProof w:val="0"/>
          <w:color w:val="000000"/>
          <w:position w:val="0"/>
          <w:sz w:val="20"/>
          <w:u w:val="none"/>
          <w:vertAlign w:val="baseline"/>
        </w:rPr>
        <w:t xml:space="preserv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"Flat Exemption" means a modification to the Exemption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Exemption to exempt from the reporting requirements of the HSR Act the acquisition of Voting Securities of an Issuer by any Acquiring Person, or by an Acquiring Person who is not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 the Issuer, on the sole basis that the acquisition results in the Acquiring Person's holding less than a specified percentage of the outstanding Voting Securities of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"Issuer" means a legal entity that issues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"Person" means any natural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"Third Parties" means any Person, partnership, joint venture, firm, corporation, association, trust, unincorporated organizations, or other business, and any subsidiaries, divisions, groups or affiliates thereof, that are not Defendants or a relevant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"Third Point LLC" means Defendant Third Point LLC, a limited liability company organized under the laws of the State of Delaware, with its principal place of business at 390 Park Avenue, 19th Floor, New York, NY 10022.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"Third Point Management" means the chief executive officer of Third Point LLC and/or a Person who has the authority to act for Third Point LLC with respect to Board or Management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"Third Point Offshore Fund, Ltd." means Defendant Third Point Offshore Fund, Ltd., an offshore fund organized under the laws of the Cayman Islands, with its registered office at Walkers, 190 Elgin Avenue, George Town, Grand Cayman KY1-9001, Cayman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"Third Point Partners Qualified L.P." means Defendant Third Point Partners Qualified L.P., a limited partnership organized under the laws of the State of Delaware, with its principal place of business at 390 Park Avenue, 19th Floor, New York, NY 10022.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"Third Point Ultra, Ltd." means Defendant Third Point Ultra, Ltd., an offshore fund organized under the laws of the British Virgin Islands, with its registered office at Walkers Chambers, 171 Main Street, P.O. Box 92, Road Town, Tortola, British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Other capitalized terms have the meanings as defined in the HSR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16 CFR 801-803.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Judgment applies to all Defendants, including each of their directors, officers, managers, agents, employees, parents, subsidiaries, successors and assigns, all in their capacities as such, and to all other Persons and entities who are in active concert or participation with any of the foregoing with respect to conduct prohibited in Paragraph IV when the relevant Persons or entities have received actual notice of this Final Judgment by personal service or otherwise.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PROHIBITED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are enjoined from making, directly or indirectly, a Covered Acquisition, without filing and observing the waiting period as required by the HSR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if: (1) at </w:t>
      </w:r>
      <w:r>
        <w:rPr>
          <w:rFonts w:ascii="arial" w:eastAsia="arial" w:hAnsi="arial" w:cs="arial"/>
          <w:b/>
          <w:i w:val="0"/>
          <w:strike w:val="0"/>
          <w:noProof w:val="0"/>
          <w:color w:val="000000"/>
          <w:position w:val="0"/>
          <w:sz w:val="20"/>
          <w:u w:val="none"/>
          <w:vertAlign w:val="baseline"/>
        </w:rPr>
        <w:t> [*52508] </w:t>
      </w:r>
      <w:r>
        <w:rPr>
          <w:rFonts w:ascii="arial" w:eastAsia="arial" w:hAnsi="arial" w:cs="arial"/>
          <w:b w:val="0"/>
          <w:i w:val="0"/>
          <w:strike w:val="0"/>
          <w:noProof w:val="0"/>
          <w:color w:val="000000"/>
          <w:position w:val="0"/>
          <w:sz w:val="20"/>
          <w:u w:val="none"/>
          <w:vertAlign w:val="baseline"/>
        </w:rPr>
        <w:t xml:space="preserve"> the time Defendants make such Covered Acquisition, or (2) during the four (4) months preceding that time, as applicable,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Nominated a candidate for the board of directors of such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corporate action requiring shareholder approval with respect to such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Solicited proxies with respect to such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Have, or are an Associate of an entity that has, a controlling shareholder, director, officer, or employee who is simultaneously serving as an officer or director of such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such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Have done any of the activities identified in Paragraphs IV.A.-IV.D. with respect to, or are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 any entity directly or indirectly controlling such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Inquired of a Third Party as to his or her interest in Board or Management Representation and did not later engage in Abandonment and communicate such Abandonment to the Third Party, unless Defendants can show that such activity occurred without the knowledge of Third Point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Sent a written communication to, or initiated an oral communication with, the relevant Issuer regarding Board or Management Representation by Persons employed by, affiliated with, or advanced by Defendants and did not later engage in Abandonment and communicate such Abandonment to the relevant Issuer, unless Defendants can show that such activity occurred without the knowledge of Third Point Management;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Assembled in writing a Board or Management Slate if Defendants were acting through, instructed by, or with the knowledge of Third Point Management and did not later engage in Abandonment.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shall maintain a compliance program that shall include designating, within thirty (30) days of the entry of this Final Judgment, a Compliance Officer with responsibility for achieving compliance with this Final Judgment. The Compliance Officer shall, on a continuing basis, supervise the review of current and proposed activities to ensure compliance with this Final Judgment. The Compliance Officer shall be responsible for accomplishing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Distributing, within thirty (30) days of the entry of this Final Judgment, a copy of this Final Judgment to any Person who has responsibility for or authority over acquisitions by Defendants of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Distributing in a timely manner a copy of this Final Judgment to any Person who succeeds to a position described in Paragraph V.A.1.;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Obtaining within sixty (60) days from the entry of this Final Judgment, and once within each calendar year after the year in which this Final Judgment is entered during the term of this Final Judgment, and retaining for the term of this Final Judgment, a written certification from each Person designated in Paragraphs V.A.1. and V.A.2. that he or she: (a) has received, read, understands, and agrees to abide by the terms of this Final Judgment; (b) understands that failure to comply with this Final Judgment may result in conviction for criminal contempt of court; and (c) is not aware of any violation of the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Providing written instruction, within sixty (60) days from the entry of this Final Judgment, and once within each calendar year after the year in which this Final Judgment is entered during the term of this Final Judgment, to all employees of Third Point who are not Third Point Management: (a) not to make an inquiry of a Third Party, as described in Paragraph IV.G., or a communication with an Issuer, as described in Paragraph IV.H., without the authorization of Third Point Management; and (b) that if, without such authorization, such employee engages in an activity that may qualify as an inquiry or communication described in Paragraphs IV.G. or H., respectively, such employee shall report the event to the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sixty (60) days of the entry of this Final Judgment, Defendants shall certify to Plaintiff that they have (1) designated a Compliance Officer, specifying his or her name, business address and telephone number; and (2) distributed the Final Judgment in accordance with Paragraph V.A.1.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On or before November 30, 2016, and on or before November 30th (or, if November 30th is not a business day, the next business day) each year thereafter during the term of this Final Judgment, Defendants shall file with Plaintiff a statement (the "Compliance Report") as to the fact and manner of their compliance with the provisions of Paragraphs IV and V during the year preceding September 30th of the year in which the Compliance Report is filed (the "Reporting Period"). This Compliance Report shall also contain (1) the Issuer and date of each Covered Acquisition during the Reporting Period where a Defendant held the relevant Voting Securities for more than seven (7) days; and (2) a written statement containing the following information regarding all instances, if any, of events during the Reporting Period where a non-Third Point Management employee made an inquiry of a Third Party, as described in Paragraph IV.G., or a communication with an Issuer, as described in Paragraph IV.H., without the authorization of Third Point Management, and as reported to the Compliance Officer: (i) the non-Third Point Management employee involved; (ii) the Issuer; and (iii) the date such inquiry or communication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any of Defendants' directors or officers or the Compliance Officer learns of any violation of this Final Judgment, Defendants shall within ten (10) business days make a corrective filing under the HSR Act with respect to the relevant Covered Acquisition.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PLAINTIFF'S ACCESS AND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 of determining or securing compliance with this Final Judgment, and subject to any legally recognized privilege, duly authorized representatives of the United States Department of Justice shall, upon written request of a duly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Plaintiff's option, to require Defendants to provide copies of all records and documents in their possession or control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directors, officers, employees, agents or other Persons, who may have their individual counsel present, relating to any matters contained in this Final Judgment.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written request of a duly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No information or documents obtained by the means provided in this Final Judgment shall be divulged by the Plaintiff to any person other than an authorized representative of the executive branch of the United States or of the Federal Trade Commission, except in the course of legal proceedings </w:t>
      </w:r>
      <w:r>
        <w:rPr>
          <w:rFonts w:ascii="arial" w:eastAsia="arial" w:hAnsi="arial" w:cs="arial"/>
          <w:b/>
          <w:i w:val="0"/>
          <w:strike w:val="0"/>
          <w:noProof w:val="0"/>
          <w:color w:val="000000"/>
          <w:position w:val="0"/>
          <w:sz w:val="20"/>
          <w:u w:val="none"/>
          <w:vertAlign w:val="baseline"/>
        </w:rPr>
        <w:t> [*52509] </w:t>
      </w:r>
      <w:r>
        <w:rPr>
          <w:rFonts w:ascii="arial" w:eastAsia="arial" w:hAnsi="arial" w:cs="arial"/>
          <w:b w:val="0"/>
          <w:i w:val="0"/>
          <w:strike w:val="0"/>
          <w:noProof w:val="0"/>
          <w:color w:val="000000"/>
          <w:position w:val="0"/>
          <w:sz w:val="20"/>
          <w:u w:val="none"/>
          <w:vertAlign w:val="baseline"/>
        </w:rPr>
        <w:t xml:space="preserve">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Plaintiff, Defendants represent and identify in writing the material in any such information or documents to which a claim of protection may be asserted under Rule 26(c)(1) of the Federal Rules of Civil Procedure, and Defendants mark each pertinent page of such material, "Subject to claim of protection under Rule 26(c)(1) of the Federal Rules of Civil Procedure," then the United States shall give ten (10) calendar days' notice prior to divulging such material in any legal proceeding (other than a grand jury proceeding) to which Defendants are not a party.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such further orders and directions as may be necessary or appropriate to carry out or construe this Final Judgment, to modify or terminate any of its provisions, to enforce compliance, and to punish any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Judgment shall expire five (5) years from the date of its entry, except that, if, during the term of this Final Judgment, the Exemption is replaced by a Flat Exemption, then the Final Judgment shall expire on the date that the Flat Exemption is effective.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party shall bear its own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 approval subject to the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2015-21534 Filed 8-28-15;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52500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mailto:dducore@ftc.gov"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K61-NRF4-42PV-00000-00&amp;context=" TargetMode="External" /><Relationship Id="rId15" Type="http://schemas.openxmlformats.org/officeDocument/2006/relationships/hyperlink" Target="https://advance.lexis.com/api/document?collection=statutes-legislation&amp;id=urn:contentItem:4YF7-GNX1-NRF4-43GX-00000-00&amp;context=" TargetMode="External" /><Relationship Id="rId16" Type="http://schemas.openxmlformats.org/officeDocument/2006/relationships/hyperlink" Target="https://advance.lexis.com/api/document?collection=administrative-codes&amp;id=urn:contentItem:5HYR-92P0-008G-Y1F8-00000-00&amp;context=" TargetMode="External" /><Relationship Id="rId17" Type="http://schemas.openxmlformats.org/officeDocument/2006/relationships/hyperlink" Target="https://advance.lexis.com/api/document?collection=administrative-codes&amp;id=urn:contentItem:5SV3-PDK0-008G-Y4FD-00000-00&amp;context=" TargetMode="External" /><Relationship Id="rId18" Type="http://schemas.openxmlformats.org/officeDocument/2006/relationships/hyperlink" Target="https://advance.lexis.com/api/document?collection=administrative-codes&amp;id=urn:contentItem:5HYR-92P0-008G-Y1FB-00000-00&amp;context=" TargetMode="External" /><Relationship Id="rId19" Type="http://schemas.openxmlformats.org/officeDocument/2006/relationships/hyperlink" Target="https://advance.lexis.com/api/document?collection=administrative-codes&amp;id=urn:contentItem:5HYR-92S0-008G-Y27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T1-NRF4-426N-00000-00&amp;context=" TargetMode="External" /><Relationship Id="rId21" Type="http://schemas.openxmlformats.org/officeDocument/2006/relationships/hyperlink" Target="https://advance.lexis.com/api/document?collection=statutes-legislation&amp;id=urn:contentItem:4YF7-GTP1-NRF4-44B7-00000-00&amp;context=" TargetMode="External" /><Relationship Id="rId22" Type="http://schemas.openxmlformats.org/officeDocument/2006/relationships/hyperlink" Target="https://advance.lexis.com/api/document?collection=cases&amp;id=urn:contentItem:3RTP-83N0-001T-D0C7-00000-00&amp;context=" TargetMode="External" /><Relationship Id="rId23" Type="http://schemas.openxmlformats.org/officeDocument/2006/relationships/hyperlink" Target="https://advance.lexis.com/api/document?collection=cases&amp;id=urn:contentItem:4NCK-65B0-TVT3-D3DR-00000-00&amp;context=" TargetMode="External" /><Relationship Id="rId24" Type="http://schemas.openxmlformats.org/officeDocument/2006/relationships/hyperlink" Target="https://advance.lexis.com/api/document?collection=cases&amp;id=urn:contentItem:5C2F-7GX1-F04C-Y0FY-00000-00&amp;context=" TargetMode="External" /><Relationship Id="rId25" Type="http://schemas.openxmlformats.org/officeDocument/2006/relationships/hyperlink" Target="https://advance.lexis.com/api/document?collection=cases&amp;id=urn:contentItem:4X85-40M0-TXFP-H385-00000-00&amp;context=" TargetMode="External" /><Relationship Id="rId26" Type="http://schemas.openxmlformats.org/officeDocument/2006/relationships/hyperlink" Target="https://advance.lexis.com/api/document?collection=cases&amp;id=urn:contentItem:3S4W-Y8S0-001B-K1MJ-00000-00&amp;context=" TargetMode="External" /><Relationship Id="rId27" Type="http://schemas.openxmlformats.org/officeDocument/2006/relationships/hyperlink" Target="https://advance.lexis.com/api/document?collection=cases&amp;id=urn:contentItem:3S4X-16H0-0039-W1PJ-00000-00&amp;context=" TargetMode="External" /><Relationship Id="rId28" Type="http://schemas.openxmlformats.org/officeDocument/2006/relationships/hyperlink" Target="https://advance.lexis.com/api/document?collection=cases&amp;id=urn:contentItem:44N5-9DK0-0038-Y4CW-00000-00&amp;context=" TargetMode="External" /><Relationship Id="rId29" Type="http://schemas.openxmlformats.org/officeDocument/2006/relationships/hyperlink" Target="https://advance.lexis.com/api/document?collection=cases&amp;id=urn:contentItem:494T-VD60-0038-Y0P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V-KH30-0054-6289-00000-00&amp;context=" TargetMode="External" /><Relationship Id="rId31" Type="http://schemas.openxmlformats.org/officeDocument/2006/relationships/hyperlink" Target="https://advance.lexis.com/api/document?collection=cases&amp;id=urn:contentItem:3S4X-53H0-003B-S0M5-00000-00&amp;context=" TargetMode="External" /><Relationship Id="rId32" Type="http://schemas.openxmlformats.org/officeDocument/2006/relationships/hyperlink" Target="https://advance.lexis.com/api/document?collection=cases&amp;id=urn:contentItem:40T2-X8J0-0038-Y2SJ-00000-00&amp;context=" TargetMode="External" /><Relationship Id="rId33" Type="http://schemas.openxmlformats.org/officeDocument/2006/relationships/hyperlink" Target="https://advance.lexis.com/api/document?collection=cases&amp;id=urn:contentItem:3S4N-V3J0-0054-72HT-00000-00&amp;context=" TargetMode="Externa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TG-0FG0-006W-8559-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J1-NRF4-451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5170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71338759</vt:lpwstr>
  </property>
  <property fmtid="{D5CDD505-2E9C-101B-9397-08002B2CF9AE}" pid="3" name="LADocCount">
    <vt:lpwstr>1</vt:lpwstr>
  </property>
  <property fmtid="{D5CDD505-2E9C-101B-9397-08002B2CF9AE}" pid="4" name="UserPermID">
    <vt:lpwstr>urn:user:PA185916758</vt:lpwstr>
  </property>
</Properties>
</file>