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52817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169, Tuesday, September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52817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September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PHLX LLC;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34-75763; File No. SR-Phlx-2015-72]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August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w:t>
      </w:r>
      <w:r>
        <w:rPr>
          <w:rFonts w:ascii="arial" w:eastAsia="arial" w:hAnsi="arial" w:cs="arial"/>
          <w:b/>
          <w:i w:val="0"/>
          <w:strike w:val="0"/>
          <w:noProof w:val="0"/>
          <w:color w:val="000000"/>
          <w:position w:val="0"/>
          <w:sz w:val="20"/>
          <w:u w:val="none"/>
          <w:vertAlign w:val="baseline"/>
        </w:rPr>
        <w:t> [*52818] </w:t>
      </w:r>
      <w:r>
        <w:rPr>
          <w:rFonts w:ascii="arial" w:eastAsia="arial" w:hAnsi="arial" w:cs="arial"/>
          <w:b w:val="0"/>
          <w:i w:val="0"/>
          <w:strike w:val="0"/>
          <w:noProof w:val="0"/>
          <w:color w:val="000000"/>
          <w:position w:val="0"/>
          <w:sz w:val="20"/>
          <w:u w:val="none"/>
          <w:vertAlign w:val="baseline"/>
        </w:rPr>
        <w:t xml:space="preserve"> ("Act"), n1 and Rule 19b-4 thereunder, n2 notice is hereby given that on August 18, 2015, NASDAQ OMX PHLX LLC ("Phlx"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Chapter VIII of NASDAQ OMX PSX Fees, entitled PSX Last Sale Data Feeds, with language regarding NASDAQ Last Sale Plus ("NLS Plus"), a comprehensive data feed offered by NASDAQ OMX Information LLC.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NASDAQ OMX Information LLC is a subsidiary of The NASDAQ OMX Group, Inc. ("NASDAQ OMX").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http://nasdaqomxphlx.cchwallstreet.com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Chapter VIII of NASDAQ OMX PSX Fees, entitled PSX Last Sale Data Feeds ("PSX Last Sale"), by adding new section (b) regarding NLS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is based on the recent approval order regarding the codification of NLS Plus in NASDAQ Rule 7039, n4 in a manner similar to products of other markets.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11"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 (SR-NASDAQ-2015-055) (order approving proposed rule change regarding NASDAQ Last Sale Plus in NASDAQ Rule 7039(d)) (the "NLS Plus Approval Order").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74972 (May 15, 2015), </w:t>
      </w:r>
      <w:hyperlink r:id="rId12" w:history="1">
        <w:r>
          <w:rPr>
            <w:rFonts w:ascii="arial" w:eastAsia="arial" w:hAnsi="arial" w:cs="arial"/>
            <w:b w:val="0"/>
            <w:i/>
            <w:strike w:val="0"/>
            <w:noProof w:val="0"/>
            <w:color w:val="0077CC"/>
            <w:position w:val="0"/>
            <w:sz w:val="20"/>
            <w:u w:val="single"/>
            <w:vertAlign w:val="baseline"/>
          </w:rPr>
          <w:t>80 FR 29370</w:t>
        </w:r>
      </w:hyperlink>
      <w:r>
        <w:rPr>
          <w:rFonts w:ascii="arial" w:eastAsia="arial" w:hAnsi="arial" w:cs="arial"/>
          <w:b w:val="0"/>
          <w:i w:val="0"/>
          <w:strike w:val="0"/>
          <w:noProof w:val="0"/>
          <w:color w:val="000000"/>
          <w:position w:val="0"/>
          <w:sz w:val="20"/>
          <w:u w:val="none"/>
          <w:vertAlign w:val="baseline"/>
        </w:rPr>
        <w:t xml:space="preserve"> (May 21, 2015) (SR-NASDAQ-2015-055) (notice of filing of proposed rule change regarding NASDAQ Last Sale Plus) (the "NLS Plus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3"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 These exchanges have likewise instituted fees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allows data distributors to access the three last sale products offered by each of NASDAQ OMX's three U.S. equity markets. n6 NLS Plus also reflects cumulative consolidated volume ("consolidated volume") of real-time trading activity across all U.S. exchanges for Tape C securities and 15-minute delayed information for Tape A and Tape B securities. n7 In offering NLS Plus, NASDAQ OMX Information LLC is, as discussed below, acting as a redistributor of last sale products already offered by NASDAQ, BX, and PSX and volume information provided by the securities information processors ("SIPs") for Tape A, B,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NASDAQ OMX U.S. equity markets include The NASDAQ Stock Market ("NASDAQ"), NASDAQ OMX BX ("BX"), and PSX (together known as the "NASDAQ OMX equity markets"). BX has recently filed a similar companion proposal regarding NLS 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SR-BX-2015-047 (August 5, 2015). NASDAQ's last sale product, NASDAQ Last Sale, includes last sale information from the FINRA/NASDAQ Trade Reporting Facility ("FINRA/NASDAQ TRF"), which is jointly operated by NASDAQ and the Financial Industry Regulatory Authority ("FINRA").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4"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5"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6"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which is proposed to be codified in PSX Last Sale section (b) in the same form as in NASDAQ Rule 7039(d), allows data distributors to access last sale products offered by each of NASDAQ OMX's three equity exchanges. Thus, NLS Plus includes all transactions from all of NASDAQ OMX's equity markets, as well as FINRA/NASDAQ TRF data that is included in the current NLS product. In addition, NLS Plus features total cross-market volume information at the issue level, thereby providing redistribution of consolidated volume information from the SIPs for Tape A, B, and C securities. Thus, NLS Plus covers all securities listed on NASDAQ and New York Stock Exchange ("NYSE") (now under the Intercontinental Exchange ("ICE") umbrella), as well as US "regional" exchanges such as NYSE MKT, NYSE Arca, and BATS (also known as BATS/Direct Edge). n8 The Exchange will, as discussed below, file a separate proposal regarding the NLS Plus fee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Registered U.S. exchanges are listed at </w:t>
      </w:r>
      <w:hyperlink r:id="rId17" w:history="1">
        <w:r>
          <w:rPr>
            <w:rFonts w:ascii="arial" w:eastAsia="arial" w:hAnsi="arial" w:cs="arial"/>
            <w:b w:val="0"/>
            <w:i/>
            <w:strike w:val="0"/>
            <w:noProof w:val="0"/>
            <w:color w:val="0077CC"/>
            <w:position w:val="0"/>
            <w:sz w:val="20"/>
            <w:u w:val="single"/>
            <w:vertAlign w:val="baseline"/>
          </w:rPr>
          <w:t>http://www.sec.gov/divisions/marketreg/mrexchanges.shtml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has been offered since 2010 via NASDAQ OMX Information LLC. n9 NASDAQ OMX Information LLC is a subsidiary of NASDAQ OMX Group, Inc., separate and apart from The NASDAQ Stock Market LLC and the Exchange. As such, NASDAQ OMX Information LLC redistributes last sale data that has been the subject of a proposed rule change filed with the Commission at prices that also have been the subject of a proposed rule change filed with the Commission. As discussed below, NASDAQ OMX Information LLC distributes no data that is not equally available to all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While NLS Plus is described in the NLS Plus notice and NLS Plus Approval Order, NLS Plus is also described online at </w:t>
      </w:r>
      <w:hyperlink r:id="rId18" w:history="1">
        <w:r>
          <w:rPr>
            <w:rFonts w:ascii="arial" w:eastAsia="arial" w:hAnsi="arial" w:cs="arial"/>
            <w:b w:val="0"/>
            <w:i/>
            <w:strike w:val="0"/>
            <w:noProof w:val="0"/>
            <w:color w:val="0077CC"/>
            <w:position w:val="0"/>
            <w:sz w:val="20"/>
            <w:u w:val="single"/>
            <w:vertAlign w:val="baseline"/>
          </w:rPr>
          <w:t>http://nasdaqtrader.com/content/technicalsupport/specifications/dataproducts/NLSPlusSpecification.pdf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the annual administrative and other fees for NLS Plus are currently described in NASDAQ Rule 7039(d) and noted at </w:t>
      </w:r>
      <w:hyperlink r:id="rId19" w:history="1">
        <w:r>
          <w:rPr>
            <w:rFonts w:ascii="arial" w:eastAsia="arial" w:hAnsi="arial" w:cs="arial"/>
            <w:b w:val="0"/>
            <w:i/>
            <w:strike w:val="0"/>
            <w:noProof w:val="0"/>
            <w:color w:val="0077CC"/>
            <w:position w:val="0"/>
            <w:sz w:val="20"/>
            <w:u w:val="single"/>
            <w:vertAlign w:val="baseline"/>
          </w:rPr>
          <w:t>http://nasdaqtrader.com/Trader.aspx?id=DPUSdata#ls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add NLS Plus to the PSX Last Sale portion of the Exchange's fee schedule, which currently describes the PSX Last Sale data feed offering, to fully reflect NLS Plus. NLS Plus as proposed to be codified in section (b) to the PSX Last Sale portion of the Exchange's fee schedule is exactly the same as NLS Plus in NASDAQ Rule 7039(d).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NLS, NLS Plus offers data for all U.S. equities via two separate data channels: the first data channel reflects NASDAQ, BX, and PSX trades with real-time consolidated volume for NASDAQ-listed securities; and the second data channel reflects trades with </w:t>
      </w:r>
      <w:r>
        <w:rPr>
          <w:rFonts w:ascii="arial" w:eastAsia="arial" w:hAnsi="arial" w:cs="arial"/>
          <w:b/>
          <w:i w:val="0"/>
          <w:strike w:val="0"/>
          <w:noProof w:val="0"/>
          <w:color w:val="000000"/>
          <w:position w:val="0"/>
          <w:sz w:val="20"/>
          <w:u w:val="none"/>
          <w:vertAlign w:val="baseline"/>
        </w:rPr>
        <w:t> [*52819] </w:t>
      </w:r>
      <w:r>
        <w:rPr>
          <w:rFonts w:ascii="arial" w:eastAsia="arial" w:hAnsi="arial" w:cs="arial"/>
          <w:b w:val="0"/>
          <w:i w:val="0"/>
          <w:strike w:val="0"/>
          <w:noProof w:val="0"/>
          <w:color w:val="000000"/>
          <w:position w:val="0"/>
          <w:sz w:val="20"/>
          <w:u w:val="none"/>
          <w:vertAlign w:val="baseline"/>
        </w:rPr>
        <w:t xml:space="preserve"> delayed consolidated volume for NYSE, NYSE MKT, NYSE Arca and BATS-listed securities. n10 NLS Plus, like NLS, is used by industry professionals and retail investors looking for a cost effective, easy-to-administer, high quality market data product with the characteristics of NLS Plus.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n11 Finally, NLS Plus provides investors with options for receiving market data that parallel products currently offered by BATS and BATS Y, EDGA, and EDGX and NYSE equity exchanges.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These NLS Plus channels are each made up of a series of sequenced messages so that each message is variable in length based on the message type and is typically delivered using a higher level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However, the Exchange notes that under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 xml:space="preserve">, NLS Plus cannot be substituted for consolidated data in all instances in which consolidated data is used and certain subscribers are still required to purchase consolidated data for trading and order-routing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 at 37503</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last sale information, NLS Plus also disseminates the following data elements: Trade Price, Trade Size, Sale Condition Modifiers, Cumulative Consolidated Market Volume, End of Day Trade Summary, Adjusted Closing Price, IPO Information, and Bloomberg ID (together the "data elements"). NLS Plus also features and disseminates the following messages: Market Wide Circuit Breaker, Reg SHO Short Sale Price Test Restricted Indicator, Trading Action, Symbol Directory, Adjusted Closing Price, and End of Day Trade Summary (together the "messages"). n13 The overwhelming majority of these data elements and messages are exactly the same as, and in fact are sourced from, NLS, BX Last Sale, and PSX Last Sale. Only two data elements (consolidated volume and Bloomberg ID) are, as discussed below,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Reg SHO Short Sale Price Test Restricted Indicator message is disseminated intra-day when a security has a price drop of 10% or more from the adjusted prior day's NASDAQ Official Closing Price. Trading Action indicates the current trading status of a security to the trading community, and indicates when a security is halted, paused, released for quotation, and released for trading. Symbol Directory is disseminated at the start of each trading day for all active NASDAQ and non-NASDAQ-listed security symbols. Adjusted Closing Price is disseminated at the start of each trading day for all active symbols in the NASDAQ system, and reflects the previous trading day's official closing price adjusted for any applicable corporate actions; if there were no corporate actions, however, the previous day's official closing price is used. End of Day Trade Summary is disseminated at the close of each trading day, as a summary for all active NASDAQ- and non-NASDAQ-listed securities. IPO Information reflects IPO general administrative messages from the UTP and CTA Level 1 feeds for Initial Public Offerings for all NASDAQ- and non-NASDAQ-listed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OMX calculates the real-time trading volume for its trading venues, and then adds the real-time trading volume for the other (non-NASDAQ OMX)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OMX) trading venues as reported via the CTS data feed. n14 The second data point that is not sourced from NLS, BX Last Sale, and PSX Last Sale is Bloomberg ID. This composite ID is a component of Bloomberg's Open Symbology and acts as a global security identifier that Bloomberg assigns to securities, and is available free of charge.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In order to distribute data derived from UTDF and CTA, NASDAQ OMX must pay monthly redistributor fees. However, because these fees are paid on an enterprise-wide basis and NASDAQ OMX includes such derived data in other data products, the use of the data in NLS Plus does not result in an additional incremental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http://bsym.bloomberg.com/sym/pages/bbgid-fact-sheet.pdf</w:t>
        </w:r>
      </w:hyperlink>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http://bsym.bloomberg.com/sym/pages/NASDAQ_Adopts_BSYM.pdf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may be received by itself or in combination with NASDAQ Basic. n16 In the latter case, the subscriber receives all of the elements contained in NLS Plus as well as the best bid and best offer information provided by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As provided in NASDAQ Rule 7047, NASDAQ Basic provides the information contained in NLS, together with NASDAQ's best bid and best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market data distributors may use the NLS Plus data feed to feed stock tickers, portfolio trackers, trade alert programs, time and sale graphs, and other display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two housekeeping changes. The Exchange adds the phrase "PSX Last Sale" in section (b) to PSX Last Sale to make it clear that section (a) refers to PSX Last Sale (whereas proposed section (b) refers to NLS Plus). The Exchange also updates the numbering in PSX Last Sale so it works correctly with new section (b). These changes are non-substantive.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the path for distribution of NLS Plus is not faster than the path for distribution that would be used by a market data vendor to distribute an independently created NLS Plus-like product. As such, the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NASDAQ and BX being equity markets owned by NASDAQ OMX, the Exchange represents that the source of the market data it would use to create proposed NLS Plus is available to other vendors. In fact, the overwhelming majority of the data elements and messages n17 in NLS Plus are exactly the same as, and in fact are sourced from, NLS, BX Last Sale, and PSX Last Sale, each of which is available to other market data vendors. n18 The Exchange, NASDAQ, and PSX will continue to make available these individual underlying data elements, and thus, the source of the market data that would be used to create the proposed NLS Plus is the same as what is available to other market data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related to notes 14 and 15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Only two data elements are, as discussed above, sourced from other publicly accessible or obtainable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create NLS Plus, the system creating and supporting NLS Plus receives the individual data feeds from each of the NASDAQ OMX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OMX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OMX equity markets on the same latency basis as the system that would be performing the aggregation and consolidation of proposed NLS Plus, and provide a similar product to its customers with the same latency they could achieve by purchasing NLS Plus from the </w:t>
      </w:r>
      <w:r>
        <w:rPr>
          <w:rFonts w:ascii="arial" w:eastAsia="arial" w:hAnsi="arial" w:cs="arial"/>
          <w:b/>
          <w:i w:val="0"/>
          <w:strike w:val="0"/>
          <w:noProof w:val="0"/>
          <w:color w:val="000000"/>
          <w:position w:val="0"/>
          <w:sz w:val="20"/>
          <w:u w:val="none"/>
          <w:vertAlign w:val="baseline"/>
        </w:rPr>
        <w:t> [*52820] </w:t>
      </w:r>
      <w:r>
        <w:rPr>
          <w:rFonts w:ascii="arial" w:eastAsia="arial" w:hAnsi="arial" w:cs="arial"/>
          <w:b w:val="0"/>
          <w:i w:val="0"/>
          <w:strike w:val="0"/>
          <w:noProof w:val="0"/>
          <w:color w:val="000000"/>
          <w:position w:val="0"/>
          <w:sz w:val="20"/>
          <w:u w:val="none"/>
          <w:vertAlign w:val="baseline"/>
        </w:rPr>
        <w:t xml:space="preserv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 Likewise, NLS Plus would not have any speed advantage vis-a-vis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access to end user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cost, the Exchange will file a separate proposal with the Commission regarding fees that will be similar in nature to NASDAQ Rule 7039(d). The proposal would be designed to ensure that vendors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Exchange by creating a similar product as NLS Plus. The Exchange expects that the pricing will reflect the incremental cost of the aggregation and consolidation function for NLS Plus, and would not be lower than the cost to a vendor creating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including the cost of receiving the underlying data feeds. The pricing the Exchange would charge clients for NLS Plus would enable a vendor to receive the underlying data feeds and offer a similar product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with no greater cost than the Exchange. For these reasons, the Exchange believes that vendors could readily offer a product similar to NLS Plus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at a similar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more detail below, the Exchange believes that the NLS Plus data offering benefits the public and investors and that the proposal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n19 in general, and with Section 6(b)(5) of the Act, n20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4"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4"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is to add section (b) to PSX Last Sale regarding the NLS Plus data offering. The Exchange believes that the proposal facilitates transactions in securities, removes impediments to and perfects the mechanism of a free and open market and a national market system, and, in general, protects investors and the public interest by making permanent the availability of an additional means by which investors may access information about securities transactions, thereby providing investors with additional options for accessing information that may help to inform their trading decisions. Given that Section 11A the Act n21 requires the dissemination of last sale reports in core data, the Exchange believes that the inclusion of the same data in NLS Plus is also consistent with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determined that the inclusion of NLS Plus in NASDAQ Rule 7039(d), upon which section (b) to PSX Last Sale is modelled, was consistent with the Act. n22 The Commission has also recently approved data products on several exchanges that are similar to NLS Plus, and specifically determined that the approved data products were consistent with the Act. n23 NLS Plus provides market participants with an additional option for receiving market data that has already been the subject of a proposed rule change and that is available from many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75257 (June 22, 2015), </w:t>
      </w:r>
      <w:hyperlink r:id="rId11" w:history="1">
        <w:r>
          <w:rPr>
            <w:rFonts w:ascii="arial" w:eastAsia="arial" w:hAnsi="arial" w:cs="arial"/>
            <w:b w:val="0"/>
            <w:i/>
            <w:strike w:val="0"/>
            <w:noProof w:val="0"/>
            <w:color w:val="0077CC"/>
            <w:position w:val="0"/>
            <w:sz w:val="20"/>
            <w:u w:val="single"/>
            <w:vertAlign w:val="baseline"/>
          </w:rPr>
          <w:t>80 FR 36862</w:t>
        </w:r>
      </w:hyperlink>
      <w:r>
        <w:rPr>
          <w:rFonts w:ascii="arial" w:eastAsia="arial" w:hAnsi="arial" w:cs="arial"/>
          <w:b w:val="0"/>
          <w:i w:val="0"/>
          <w:strike w:val="0"/>
          <w:noProof w:val="0"/>
          <w:color w:val="000000"/>
          <w:position w:val="0"/>
          <w:sz w:val="20"/>
          <w:u w:val="none"/>
          <w:vertAlign w:val="baseline"/>
        </w:rPr>
        <w:t xml:space="preserve"> (June 26, 2015)(SR-NASDAQ-2015-055).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the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will file a separate proposal regarding NLS Plus fees. n25 The decision of the United States Court of Appeals for the District of Columbia Circuit in </w:t>
      </w:r>
      <w:hyperlink r:id="rId26"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upheld the Commission's reliance upon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to set reasonable and equitably allocated fees for market data. "In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321,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The Exchange expects that the fee structure for NLS Plus will reflect an amount that is no less than the cost to a market data vendor to obtain all the underlying feeds, plus an amount to be determined that would reflect the value of the aggregation and consolidation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while upholding the Commission's conclusion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may be relied upon to establish the fairness of prices, nevertheless concluded that the record </w:t>
      </w:r>
      <w:r>
        <w:rPr>
          <w:rFonts w:ascii="arial" w:eastAsia="arial" w:hAnsi="arial" w:cs="arial"/>
          <w:b w:val="0"/>
          <w:i/>
          <w:strike w:val="0"/>
          <w:noProof w:val="0"/>
          <w:color w:val="000000"/>
          <w:position w:val="0"/>
          <w:sz w:val="20"/>
          <w:u w:val="none"/>
          <w:vertAlign w:val="baseline"/>
        </w:rPr>
        <w:t>in that case</w:t>
      </w:r>
      <w:r>
        <w:rPr>
          <w:rFonts w:ascii="arial" w:eastAsia="arial" w:hAnsi="arial" w:cs="arial"/>
          <w:b w:val="0"/>
          <w:i w:val="0"/>
          <w:strike w:val="0"/>
          <w:noProof w:val="0"/>
          <w:color w:val="000000"/>
          <w:position w:val="0"/>
          <w:sz w:val="20"/>
          <w:u w:val="none"/>
          <w:vertAlign w:val="baseline"/>
        </w:rPr>
        <w:t xml:space="preserve"> did not adequately support the Commission's conclusions as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NYSE Arca's data product at issue in that case.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however,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data that was not in the record in the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case, and that the Commission is entitled to rely upon such evidence in concluding fees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[*52821] </w:t>
      </w:r>
      <w:r>
        <w:rPr>
          <w:rFonts w:ascii="arial" w:eastAsia="arial" w:hAnsi="arial" w:cs="arial"/>
          <w:b w:val="0"/>
          <w:i w:val="0"/>
          <w:strike w:val="0"/>
          <w:noProof w:val="0"/>
          <w:color w:val="000000"/>
          <w:position w:val="0"/>
          <w:sz w:val="20"/>
          <w:u w:val="none"/>
          <w:vertAlign w:val="baseline"/>
        </w:rPr>
        <w:t xml:space="preserve"> therefore in accordance with the relevant statutory standards. n27 Moreover, the Exchange further notes that the product at issue in this filing--a last sale data product that replicates a subset of the information available through "core" data products whose fees have been reviewed and approved by the SEC--is quite different from the NYSE Arca depth-of-book data product at issue in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Accordingly, any findings of the court with respect to that product may not be relevant to the product at issue in this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It should also be noted that Section 916 of the Dodd-Frank Wall Street Reform and Consumer Protection Act of 2010 ("Dodd-Frank Act") has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xml:space="preserve">, to make it clear that all exchange fees, including fees for market data, may be filed by exchanges on an immediately effective basis.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NetCoalition v. SEC, 715 F.3d 342 (D.C. Cir. 2013)</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II"</w:t>
      </w:r>
      <w:r>
        <w:rPr>
          <w:rFonts w:ascii="arial" w:eastAsia="arial" w:hAnsi="arial" w:cs="arial"/>
          <w:b w:val="0"/>
          <w:i w:val="0"/>
          <w:strike w:val="0"/>
          <w:noProof w:val="0"/>
          <w:color w:val="000000"/>
          <w:position w:val="0"/>
          <w:sz w:val="20"/>
          <w:u w:val="none"/>
          <w:vertAlign w:val="baseline"/>
        </w:rPr>
        <w:t>) (finding no jurisdiction to review Commission's non-suspension of immediately effective fee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inexpensive real-time consolidated data and market-specific data and free delayed consolidated data; and (3) the inherent contestability of the market for proprietary last sale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described in detail above,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NASDAQ OMX Information LLC was constructed specifically to establish a level playing field with market data vendors and to preserve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Therefore, NASDAQ OMX Information LLC receives NLS, BX Last Sale, and PSX Last Sale from each NASDAQ-operated exchange in the same manner, at the same speed, and reflecting the same fees as for all market data vendors. Therefore, NASDAQ Information LLC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with respect to these last sale products and NASDAQ commits to maintaining this level playing field in the future. In other words, NASDAQ will continue to disseminate separately the underlying last sale products to avoid creating a latency differential between NASDAQ OMX Information LLC and other market data vendors, and to avoid creating a pricing advantage for NASDAQ OMX Information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and distribution of its data products. Without trade executions, exchange data products cannot exist. Moreover, data products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n28 In the Exchange's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the Exchange would be unable to defray its platform costs of providing the joint products. Similarly, data products cannot make use of TRF trade reports without the raw material of the trade reports themselves, and therefore necessitate the costs of operating, regulating, n29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exchange's BD customers view the costs of transaction executions and of data as a unified cost of doing business with the exchange. A BD will direct orders to a particular exchange only if </w:t>
      </w:r>
      <w:r>
        <w:rPr>
          <w:rFonts w:ascii="arial" w:eastAsia="arial" w:hAnsi="arial" w:cs="arial"/>
          <w:b/>
          <w:i w:val="0"/>
          <w:strike w:val="0"/>
          <w:noProof w:val="0"/>
          <w:color w:val="000000"/>
          <w:position w:val="0"/>
          <w:sz w:val="20"/>
          <w:u w:val="none"/>
          <w:vertAlign w:val="baseline"/>
        </w:rPr>
        <w:t> [*52822] </w:t>
      </w:r>
      <w:r>
        <w:rPr>
          <w:rFonts w:ascii="arial" w:eastAsia="arial" w:hAnsi="arial" w:cs="arial"/>
          <w:b w:val="0"/>
          <w:i w:val="0"/>
          <w:strike w:val="0"/>
          <w:noProof w:val="0"/>
          <w:color w:val="000000"/>
          <w:position w:val="0"/>
          <w:sz w:val="20"/>
          <w:u w:val="none"/>
          <w:vertAlign w:val="baseline"/>
        </w:rPr>
        <w:t xml:space="preserve">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trading activity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in the case of products such as NLS Plus that are distributed through market data vendors, the vendors provide price discipline for proprietary data products because they control the primary means of access to end users. Vendors impose price restraints based upon their business models. For example, vendors such as Bloomberg and Reuters that assess a surcharge on data they sell may refuse to offer proprietary products that end users will not purchase in sufficient numbers. Internet portals, such as Google, impose a discipline by providing only data that will enable them to attract "eyeballs" that contribute to their advertising revenue. Retail BDs, such as Schwab and Fidelity, offer their customers proprietary data only if it promotes trading and generates sufficient commission revenue. Although the business models may differ, these vendors' pricing discipline is the same: they can simply refuse to purchase any proprietary data product that fails to provide sufficient value. Exchanges, TRFs, and other producers of proprietary data products must understand and respond to these varying business models and pricing disciplines in order to market proprietary data products successfully. Moreover, the Exchange believes that products such as NLS Plus can enhance order flow to the Exchange by providing more widespread distribution of information about transactions in real time, thereby encouraging wider participation in the market by investors with access to the internet or television. Conversely, the value of such products to distributors and investors decreases if order flow falls, because the products contain less content.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The Exchange pays rebates to attract liquidity, charges relatively low prices for market information and charges relatively high prices for orders accessing liquidity. Other platforms may choose a strategy of charging low transaction fees and setting relatively higher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an SRO proprietary product, and/or a non-SRO proprietary product, the data available in proprietary products is exponentially greater than the actual number of orders and transaction reports that exist in the marketplace. Indeed, in the case of NLS Plus, the data provided through that product appears both in (i) real-time core data products offered by the SIPs for a fee, (ii) free SIP data products with a 15-minute time delay, and (iii) individual exchange data products, and finds a close substitute in last-sale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w:t>
      </w:r>
      <w:r>
        <w:rPr>
          <w:rFonts w:ascii="arial" w:eastAsia="arial" w:hAnsi="arial" w:cs="arial"/>
          <w:b/>
          <w:i w:val="0"/>
          <w:strike w:val="0"/>
          <w:noProof w:val="0"/>
          <w:color w:val="000000"/>
          <w:position w:val="0"/>
          <w:sz w:val="20"/>
          <w:u w:val="none"/>
          <w:vertAlign w:val="baseline"/>
        </w:rPr>
        <w:t> [*52823] </w:t>
      </w:r>
      <w:r>
        <w:rPr>
          <w:rFonts w:ascii="arial" w:eastAsia="arial" w:hAnsi="arial" w:cs="arial"/>
          <w:b w:val="0"/>
          <w:i w:val="0"/>
          <w:strike w:val="0"/>
          <w:noProof w:val="0"/>
          <w:color w:val="000000"/>
          <w:position w:val="0"/>
          <w:sz w:val="20"/>
          <w:u w:val="none"/>
          <w:vertAlign w:val="baseline"/>
        </w:rPr>
        <w:t xml:space="preserve">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TRFs, the rapid entry of several exchanges into this space in 2006-2007 following the development and Commission approval of the TRF structure demonstrates the contestability of this aspect of the market. n31 Given the demand for trade reporting services that is itself a by-product of the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transaction executions--characterized notably by a proliferation of ATSs and BDs offering internalization--any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associated with trade reporting or TRF data would shift trade report volumes from one of the existing TRFs to the other n32 and create incentives for other TRF operators to enter the space. Alternatively, because BDs reporting to TRFs are themselves free to consolidate the market data that they report, the market for over-the-counter data itself, separate and apart from the markets for execution and trade reporting services--is fully contestable.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low cost exit of two TRFs from the market is also evidence of a contestable market, because new entrants are reluctant to enter a market where exit may involve substantial shut-down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It should be noted that the FINRA/NYSE TRF has, in recent weeks, received reports for almost 10% of all over-the-counter volume in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consolidated data provides two additional measures of pricing discipline for proprietary data products that are a subset of the consolidated data stream. First, the consolidated data is widely available in real-time at $ 1 per month for non-professional users. Second, consolidated data is also available at no cost with a 15- or 20- minute delay. Because consolidated data contains marketwide information, it effectively places a cap on the fees assessed for proprietary data (such as last sale data) that is simply a subset of the consolidated data. The mere availability of low-cost or free consolidated data provides a powerful form of pricing discipline for proprietary data products that contain data elements that are a subset of the consolidated data, by highlighting the optional nature of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the Exchange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 n33 of the Act and subparagraph (f)(6) of Rule 19b-4 thereunder.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SR-Phlx-2015-72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SR-Phlx-2015-72. This file number should be included on the subject line if email is used. To help the Commission process and review your comments more efficiently, please use only one method. The Commission will post all comments on the Commission's Internet Web site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submissions should refer to File Number SR-Phlx-2015-72 and should </w:t>
      </w:r>
      <w:r>
        <w:rPr>
          <w:rFonts w:ascii="arial" w:eastAsia="arial" w:hAnsi="arial" w:cs="arial"/>
          <w:b/>
          <w:i w:val="0"/>
          <w:strike w:val="0"/>
          <w:noProof w:val="0"/>
          <w:color w:val="000000"/>
          <w:position w:val="0"/>
          <w:sz w:val="20"/>
          <w:u w:val="none"/>
          <w:vertAlign w:val="baseline"/>
        </w:rPr>
        <w:t> [*52824] </w:t>
      </w:r>
      <w:r>
        <w:rPr>
          <w:rFonts w:ascii="arial" w:eastAsia="arial" w:hAnsi="arial" w:cs="arial"/>
          <w:b w:val="0"/>
          <w:i w:val="0"/>
          <w:strike w:val="0"/>
          <w:noProof w:val="0"/>
          <w:color w:val="000000"/>
          <w:position w:val="0"/>
          <w:sz w:val="20"/>
          <w:u w:val="none"/>
          <w:vertAlign w:val="baseline"/>
        </w:rPr>
        <w:t xml:space="preserve"> be submitted on or before September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2015-21552 Filed 8-31-15;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52817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omxphlx.cchwallstreet.com" TargetMode="External" /><Relationship Id="rId11" Type="http://schemas.openxmlformats.org/officeDocument/2006/relationships/hyperlink" Target="https://advance.lexis.com/api/document?collection=administrative-codes&amp;id=urn:contentItem:5G9F-0SM0-006W-8372-00000-00&amp;context=" TargetMode="External" /><Relationship Id="rId12" Type="http://schemas.openxmlformats.org/officeDocument/2006/relationships/hyperlink" Target="https://advance.lexis.com/api/document?collection=administrative-codes&amp;id=urn:contentItem:5G1S-38R0-006W-83X7-00000-00&amp;context=" TargetMode="External" /><Relationship Id="rId13" Type="http://schemas.openxmlformats.org/officeDocument/2006/relationships/hyperlink" Target="https://advance.lexis.com/api/document?collection=administrative-codes&amp;id=urn:contentItem:5DKG-59X0-006W-84JS-00000-00&amp;context=" TargetMode="External" /><Relationship Id="rId14" Type="http://schemas.openxmlformats.org/officeDocument/2006/relationships/hyperlink" Target="https://advance.lexis.com/api/document?collection=administrative-codes&amp;id=urn:contentItem:4ST3-7660-006W-855B-00000-00&amp;context=" TargetMode="External" /><Relationship Id="rId15" Type="http://schemas.openxmlformats.org/officeDocument/2006/relationships/hyperlink" Target="https://advance.lexis.com/api/document?collection=administrative-codes&amp;id=urn:contentItem:4XWV-C110-006W-820D-00000-00&amp;context=" TargetMode="External" /><Relationship Id="rId16" Type="http://schemas.openxmlformats.org/officeDocument/2006/relationships/hyperlink" Target="https://advance.lexis.com/api/document?collection=administrative-codes&amp;id=urn:contentItem:511J-9M30-006W-82GB-00000-00&amp;context=" TargetMode="External" /><Relationship Id="rId17" Type="http://schemas.openxmlformats.org/officeDocument/2006/relationships/hyperlink" Target="http://www.sec.gov/divisions/marketreg/mrexchanges.shtml" TargetMode="External" /><Relationship Id="rId18" Type="http://schemas.openxmlformats.org/officeDocument/2006/relationships/hyperlink" Target="http://nasdaqtrader.com/content/technicalsupport/specifications/dataproducts/NLSPlusSpecification.pdf" TargetMode="External" /><Relationship Id="rId19" Type="http://schemas.openxmlformats.org/officeDocument/2006/relationships/hyperlink" Target="http://nasdaqtrader.com/Trader.aspx?id=DPUSdata#ls"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J8-4SN0-008G-Y35P-00000-00&amp;context=" TargetMode="External" /><Relationship Id="rId21" Type="http://schemas.openxmlformats.org/officeDocument/2006/relationships/hyperlink" Target="https://advance.lexis.com/api/document?collection=administrative-codes&amp;id=urn:contentItem:4GH9-4PB0-014W-D1VJ-00000-00&amp;context=" TargetMode="External" /><Relationship Id="rId22" Type="http://schemas.openxmlformats.org/officeDocument/2006/relationships/hyperlink" Target="http://bsym.bloomberg.com/sym/pages/bbgid-fact-sheet.pdf" TargetMode="External" /><Relationship Id="rId23" Type="http://schemas.openxmlformats.org/officeDocument/2006/relationships/hyperlink" Target="http://bsym.bloomberg.com/sym/pages/NASDAQ_Adopts_BSYM.pdf" TargetMode="External" /><Relationship Id="rId24" Type="http://schemas.openxmlformats.org/officeDocument/2006/relationships/hyperlink" Target="https://advance.lexis.com/api/document?collection=statutes-legislation&amp;id=urn:contentItem:4YF7-GPC1-NRF4-4309-00000-00&amp;context=" TargetMode="External" /><Relationship Id="rId25" Type="http://schemas.openxmlformats.org/officeDocument/2006/relationships/hyperlink" Target="https://advance.lexis.com/api/document?collection=statutes-legislation&amp;id=urn:contentItem:4YF7-GK71-NRF4-4360-00000-00&amp;context=" TargetMode="External" /><Relationship Id="rId26" Type="http://schemas.openxmlformats.org/officeDocument/2006/relationships/hyperlink" Target="https://advance.lexis.com/api/document?collection=cases&amp;id=urn:contentItem:803V-DT30-YB0V-T01B-00000-00&amp;context=" TargetMode="External" /><Relationship Id="rId27" Type="http://schemas.openxmlformats.org/officeDocument/2006/relationships/hyperlink" Target="https://advance.lexis.com/api/document?collection=cases&amp;id=urn:contentItem:589M-GYC1-F04K-Y02R-00000-00&amp;context=" TargetMode="External" /><Relationship Id="rId28" Type="http://schemas.openxmlformats.org/officeDocument/2006/relationships/hyperlink" Target="http://www.cinnober.com/boat-trade-reporting" TargetMode="External" /><Relationship Id="rId29" Type="http://schemas.openxmlformats.org/officeDocument/2006/relationships/hyperlink" Target="http://www.sec.gov/rules/sro.shtml" TargetMode="External" /><Relationship Id="rId3" Type="http://schemas.openxmlformats.org/officeDocument/2006/relationships/fontTable" Target="fontTable.xml" /><Relationship Id="rId30" Type="http://schemas.openxmlformats.org/officeDocument/2006/relationships/hyperlink" Target="mailto:rule-comments@sec.gov"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TR-HJ70-006W-8048-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52817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71342422</vt:lpwstr>
  </property>
  <property fmtid="{D5CDD505-2E9C-101B-9397-08002B2CF9AE}" pid="3" name="LADocCount">
    <vt:lpwstr>1</vt:lpwstr>
  </property>
  <property fmtid="{D5CDD505-2E9C-101B-9397-08002B2CF9AE}" pid="4" name="UserPermID">
    <vt:lpwstr>urn:user:PA185916758</vt:lpwstr>
  </property>
</Properties>
</file>