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57129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183, Tuesday, September 22,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57129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September 22,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COMMODITY FUTURES TRADING COMMISSION (CFTC)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Proposal To Amend the Definition of "Material Terms" for Purposes of Swap Portfolio Reconciliation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COMMODITY FUTURES TRADING COMMISSION (CFTC)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3038-AE17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 23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Commodity Futures Trading Commission ("Commission" or "CFTC") proposes to amend a provision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connection with the material terms for which counterparties must resolve discrepancies when engaging in portfolio reconciliation.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11, 2012, the Commission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final rules § 23.500 through § 23.505 n2 establishing requirements for the timely and accurate confirmation of swaps, the reconciliation and compression of swap portfolios, and documentation of swap trading relationships between swap dealers ("SDs"), n3 major swap participants ("MSPs"), n4 and their counterparties.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promulgated by the Commission pursuant to the authority granted under Sections 4s(h)(1)(D), 4s(h)(3)(D), and 4s(i) of the Commodity Exchange Act (the "CEA"), n5 </w:t>
      </w:r>
      <w:r>
        <w:rPr>
          <w:rFonts w:ascii="arial" w:eastAsia="arial" w:hAnsi="arial" w:cs="arial"/>
          <w:b/>
          <w:i w:val="0"/>
          <w:strike w:val="0"/>
          <w:noProof w:val="0"/>
          <w:color w:val="000000"/>
          <w:position w:val="0"/>
          <w:sz w:val="20"/>
          <w:u w:val="none"/>
          <w:vertAlign w:val="baseline"/>
        </w:rPr>
        <w:t> [*57130] </w:t>
      </w:r>
      <w:r>
        <w:rPr>
          <w:rFonts w:ascii="arial" w:eastAsia="arial" w:hAnsi="arial" w:cs="arial"/>
          <w:b w:val="0"/>
          <w:i w:val="0"/>
          <w:strike w:val="0"/>
          <w:noProof w:val="0"/>
          <w:color w:val="000000"/>
          <w:position w:val="0"/>
          <w:sz w:val="20"/>
          <w:u w:val="none"/>
          <w:vertAlign w:val="baseline"/>
        </w:rPr>
        <w:t xml:space="preserve"> as amended by Section 731 of the Dodd-Frank Wall Street Reform and Consumer Protection Act (the "Dodd-Frank Act"), n6 which, among other things, directed the Commission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timely and accurate confirmation, processing, netting, documentation and valuation of all swaps entered into by SDs and MSPs, n7 and the Commission's general rulemaking authority under Section 8a(5) of the CEA.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Confirmation, Portfolio Reconciliation, Portfolio Compression, and Swap Trading Relationship Documentation Requirements for Swap Dealers and Major Swap Participants, </w:t>
      </w:r>
      <w:hyperlink r:id="rId8" w:history="1">
        <w:r>
          <w:rPr>
            <w:rFonts w:ascii="arial" w:eastAsia="arial" w:hAnsi="arial" w:cs="arial"/>
            <w:b w:val="0"/>
            <w:i/>
            <w:strike w:val="0"/>
            <w:noProof w:val="0"/>
            <w:color w:val="0077CC"/>
            <w:position w:val="0"/>
            <w:sz w:val="20"/>
            <w:u w:val="single"/>
            <w:vertAlign w:val="baseline"/>
          </w:rPr>
          <w:t>77 FR 55904</w:t>
        </w:r>
      </w:hyperlink>
      <w:r>
        <w:rPr>
          <w:rFonts w:ascii="arial" w:eastAsia="arial" w:hAnsi="arial" w:cs="arial"/>
          <w:b w:val="0"/>
          <w:i w:val="0"/>
          <w:strike w:val="0"/>
          <w:noProof w:val="0"/>
          <w:color w:val="000000"/>
          <w:position w:val="0"/>
          <w:sz w:val="20"/>
          <w:u w:val="none"/>
          <w:vertAlign w:val="baseline"/>
        </w:rPr>
        <w:t xml:space="preserve"> (Sept. 11, 2012) (hereinafter, "Portfolio Reconciliation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Generally, an SD is any person who, in addition to transacting in a notional amount of swaps in excess of specified de minimis thresholds, holds itself out as a dealer in swaps, makes a market in swaps, regularly enters into swaps with counterparties as an ordinary course of business for its own account, or engages in any activity causing it to be commonly known in the trade as a dealer or market maker in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 U.S.C. 1a(49)</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17 CFR 1.3(ggg)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Generally, an MSP is any non-dealer that maintains a substantial position in swaps for any of the specified major swap categories, whose outstanding swaps create substantial counterparty exposure that could have serious adverse effects on the financial stability of the United States banking system or financial markets, or any financial entity that is highly leveraged relative to the amount of capital such entity holds and that is not subject to capital requirements established by an appropriate Federal banking agency and maintains a substantial position in outstanding swaps in any major swap category.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 U.S.C. 1a(33)</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17 CFR 1.3(hhh)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1" w:history="1">
        <w:r>
          <w:rPr>
            <w:rFonts w:ascii="arial" w:eastAsia="arial" w:hAnsi="arial" w:cs="arial"/>
            <w:b w:val="0"/>
            <w:i/>
            <w:strike w:val="0"/>
            <w:noProof w:val="0"/>
            <w:color w:val="0077CC"/>
            <w:position w:val="0"/>
            <w:sz w:val="20"/>
            <w:u w:val="single"/>
            <w:vertAlign w:val="baseline"/>
          </w:rPr>
          <w:t>7 U.S.C. 6s(h)(1)(D)</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6s(h)(3)(D)</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6s(i)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Dodd-Frank Wall Street Reform and Consumer Protection Act,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(July 21,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Portfolio Reconciliation Final Rule, 77 FR at 55926 ("[P]ortfolio reconciliation involves both confirmation and valuation and serves as a mechanism to ensure accurate documentation.").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2" w:history="1">
        <w:r>
          <w:rPr>
            <w:rFonts w:ascii="arial" w:eastAsia="arial" w:hAnsi="arial" w:cs="arial"/>
            <w:b w:val="0"/>
            <w:i/>
            <w:strike w:val="0"/>
            <w:noProof w:val="0"/>
            <w:color w:val="0077CC"/>
            <w:position w:val="0"/>
            <w:sz w:val="20"/>
            <w:u w:val="single"/>
            <w:vertAlign w:val="baseline"/>
          </w:rPr>
          <w:t>7 U.S.C. 12a(5)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23.502, n9 SDs and MSPs must reconcile their swap portfolios with one another and provide non-SD and non-MSP counterparties with regular opportunities for portfolio reconciliation. n10 Section 23.500(i) n11 defines the term, "portfolio reconciliation," as "any process by which the two parties to one or more swaps: (1) Exchange the terms of all swaps in the swap portfolio between the counterparties; (2) exchange each counterparty's valuation of each swap in the swap portfolio between the counterparties as of the close of business on the immediately preceding business day; and (3) resolve any discrepancy in material terms and valuations." Section 23.500(g) defines "material terms" to mean "all terms of a swap required to be reported in accordance with part 45 of this chapter." n12 Thus, portfolio reconciliation seeks to enable "the swap market to operate efficiently and to reduce systemic risk" n13 by requiring counterparties periodically to (1) exchange the terms of their mutual swaps, and (2) locate and resolve discrepancies in material terms of mutual swaps. In particular, the Commission recognized that "portfolio reconciliation [would] facilitate the identification and resolution of discrepancies between the counterparties with regard to valuations of collateral held as margin." n14 The Commission also has described portfolio reconciliation, generally,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3" w:history="1">
        <w:r>
          <w:rPr>
            <w:rFonts w:ascii="arial" w:eastAsia="arial" w:hAnsi="arial" w:cs="arial"/>
            <w:b w:val="0"/>
            <w:i/>
            <w:strike w:val="0"/>
            <w:noProof w:val="0"/>
            <w:color w:val="0077CC"/>
            <w:position w:val="0"/>
            <w:sz w:val="20"/>
            <w:u w:val="single"/>
            <w:vertAlign w:val="baseline"/>
          </w:rPr>
          <w:t>17 CFR 23.502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3" w:history="1">
        <w:r>
          <w:rPr>
            <w:rFonts w:ascii="arial" w:eastAsia="arial" w:hAnsi="arial" w:cs="arial"/>
            <w:b w:val="0"/>
            <w:i/>
            <w:strike w:val="0"/>
            <w:noProof w:val="0"/>
            <w:color w:val="0077CC"/>
            <w:position w:val="0"/>
            <w:sz w:val="20"/>
            <w:u w:val="single"/>
            <w:vertAlign w:val="baseline"/>
          </w:rPr>
          <w:t>17 CFR 23.502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Portfolio Reconciliation Final Rule, 77 FR at 55926.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4" w:history="1">
        <w:r>
          <w:rPr>
            <w:rFonts w:ascii="arial" w:eastAsia="arial" w:hAnsi="arial" w:cs="arial"/>
            <w:b w:val="0"/>
            <w:i/>
            <w:strike w:val="0"/>
            <w:noProof w:val="0"/>
            <w:color w:val="0077CC"/>
            <w:position w:val="0"/>
            <w:sz w:val="20"/>
            <w:u w:val="single"/>
            <w:vertAlign w:val="baseline"/>
          </w:rPr>
          <w:t>17 CFR 23.500(i)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4" w:history="1">
        <w:r>
          <w:rPr>
            <w:rFonts w:ascii="arial" w:eastAsia="arial" w:hAnsi="arial" w:cs="arial"/>
            <w:b w:val="0"/>
            <w:i/>
            <w:strike w:val="0"/>
            <w:noProof w:val="0"/>
            <w:color w:val="0077CC"/>
            <w:position w:val="0"/>
            <w:sz w:val="20"/>
            <w:u w:val="single"/>
            <w:vertAlign w:val="baseline"/>
          </w:rPr>
          <w:t>17 CFR 23.500(g)</w:t>
        </w:r>
      </w:hyperlink>
      <w:r>
        <w:rPr>
          <w:rFonts w:ascii="arial" w:eastAsia="arial" w:hAnsi="arial" w:cs="arial"/>
          <w:b w:val="0"/>
          <w:i w:val="0"/>
          <w:strike w:val="0"/>
          <w:noProof w:val="0"/>
          <w:color w:val="000000"/>
          <w:position w:val="0"/>
          <w:sz w:val="20"/>
          <w:u w:val="none"/>
          <w:vertAlign w:val="baseline"/>
        </w:rPr>
        <w:t xml:space="preserve">. Part 45 of the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 swap data recordkeeping and reporting requirements. The swap terms that must be reported under part 45 are found in appendix 1 to part 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17 CFR part 45, App.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17 CFR 45.1</w:t>
        </w:r>
      </w:hyperlink>
      <w:r>
        <w:rPr>
          <w:rFonts w:ascii="arial" w:eastAsia="arial" w:hAnsi="arial" w:cs="arial"/>
          <w:b w:val="0"/>
          <w:i w:val="0"/>
          <w:strike w:val="0"/>
          <w:noProof w:val="0"/>
          <w:color w:val="000000"/>
          <w:position w:val="0"/>
          <w:sz w:val="20"/>
          <w:u w:val="none"/>
          <w:vertAlign w:val="baseline"/>
        </w:rPr>
        <w:t xml:space="preserve"> (defining "primary economic terms" as "all of the terms of a swap matched or affirmed by the counterparties in verifying the swap," including "at a minimum each of the terms included in the most recent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release by the Commission listing minimum primary economic terms for swaps in the swap asset class in question" and stating that the current list of minimum primary economic terms is in appendix 1); Swap Data Recordkeeping and Reporting Requirements, </w:t>
      </w:r>
      <w:hyperlink r:id="rId16" w:history="1">
        <w:r>
          <w:rPr>
            <w:rFonts w:ascii="arial" w:eastAsia="arial" w:hAnsi="arial" w:cs="arial"/>
            <w:b w:val="0"/>
            <w:i/>
            <w:strike w:val="0"/>
            <w:noProof w:val="0"/>
            <w:color w:val="0077CC"/>
            <w:position w:val="0"/>
            <w:sz w:val="20"/>
            <w:u w:val="single"/>
            <w:vertAlign w:val="baseline"/>
          </w:rPr>
          <w:t>77 FR 2197</w:t>
        </w:r>
      </w:hyperlink>
      <w:r>
        <w:rPr>
          <w:rFonts w:ascii="arial" w:eastAsia="arial" w:hAnsi="arial" w:cs="arial"/>
          <w:b w:val="0"/>
          <w:i w:val="0"/>
          <w:strike w:val="0"/>
          <w:noProof w:val="0"/>
          <w:color w:val="000000"/>
          <w:position w:val="0"/>
          <w:sz w:val="20"/>
          <w:u w:val="none"/>
          <w:vertAlign w:val="baseline"/>
        </w:rPr>
        <w:t xml:space="preserve"> (Jan. 13, 2012) (promulgating the list of primary economic terms). Examples of primary economic terms include the price of the swap, payment frequency, type of contract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"vanilla option" or "complex exotic option"), execution timestamp, and, if the swap is a multi-asset class swap, the primary and secondary asset classes. 17 CFR part 45, App.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Portfolio Reconciliation Final Rule, 77 FR at 55926.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response to comments that industry practice was only to resolve swap terms that lead to material collateral disputes, the Commission, in promulgating the final § 23.502, emphasized the importance of both (1) resolving disputes related to the material terms of swaps and (2) resolving valuation disputes impacting margin payments. </w:t>
      </w:r>
      <w:hyperlink r:id="rId8" w:history="1">
        <w:r>
          <w:rPr>
            <w:rFonts w:ascii="arial" w:eastAsia="arial" w:hAnsi="arial" w:cs="arial"/>
            <w:b w:val="0"/>
            <w:i/>
            <w:strike w:val="0"/>
            <w:noProof w:val="0"/>
            <w:color w:val="0077CC"/>
            <w:position w:val="0"/>
            <w:sz w:val="20"/>
            <w:u w:val="single"/>
            <w:vertAlign w:val="baseline"/>
          </w:rPr>
          <w:t>Id. at 55926-27, 55929-31.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Portfolio reconciliation is a post-execution processing and risk management technique that is designed to (i) identify and resolve discrepancies between the counterparties with regard to the terms of a swap either immediately after execution or during the life of the swap; (ii) ensure effective confirmation of terms of the swap; and (iii) identify and resolve discrepancies between the counterparties regarding the valuation of the swap.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Portfolio Reconciliation Final Rule, 77 FR at 55926.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adopting § 23.502, the Commission intended to require that SDs, MSPs, and their counterparties engage in portfolio reconciliation at regular intervals. Explaining the rationale for § 23.502, the Commission noted that portfolio reconciliation can identify and reduce overall risk "[b]y identifying and managing mismatches in key economic terms and valuation for individual transactions across an entire portfolio." n16 Portfolio reconciliation is not required for cleared swaps where a derivatives clearing organization ("DCO") holds the definitive record of the trades and determines binding daily valuations for the swaps.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8" w:history="1">
        <w:r>
          <w:rPr>
            <w:rFonts w:ascii="arial" w:eastAsia="arial" w:hAnsi="arial" w:cs="arial"/>
            <w:b w:val="0"/>
            <w:i/>
            <w:strike w:val="0"/>
            <w:noProof w:val="0"/>
            <w:color w:val="0077CC"/>
            <w:position w:val="0"/>
            <w:sz w:val="20"/>
            <w:u w:val="single"/>
            <w:vertAlign w:val="baseline"/>
          </w:rPr>
          <w:t>Id. at 55927.</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Proposed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the International Swaps and Derivatives Association, Inc. ("ISDA") requested interpretive guidance from Commission staff that would permit certain swap data elements to be excluded from portfolio reconciliation as required under § 23.502. n18 Specifically, ISDA requested that "the terms" of a swap that counterparties must exchange during portfolio reconciliation exercises be limited to the "material terms" of a swap, and that "material terms" have the same meaning as "primary economic terms" in § 45.1. ISDA further asked that the following data fields (hereinafter referred to as the "No-Action Excluded Data Fields") be excluded from the definition of "material terms" for purposes of compliance with § 23.502: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Staff Letter No. 13-31 (June 26, 2013),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http://www.cftc.gov/ucm/groups/public/@lrlettergeneral/documents/letter/13-31.pdf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 indication that the swap will be allocated;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If the swap will be allocated, or is a post-allocation swap, the legal entity identifier n19 of the agent;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A legal entity identifier is "a 20-digit, alpha-numeric code, to uniquely identify legally distinct entities that engage in financial transactions."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Legal Entity Identifier Regulatory Oversight Committee, </w:t>
      </w:r>
      <w:hyperlink r:id="rId18" w:history="1">
        <w:r>
          <w:rPr>
            <w:rFonts w:ascii="arial" w:eastAsia="arial" w:hAnsi="arial" w:cs="arial"/>
            <w:b w:val="0"/>
            <w:i/>
            <w:strike w:val="0"/>
            <w:noProof w:val="0"/>
            <w:color w:val="0077CC"/>
            <w:position w:val="0"/>
            <w:sz w:val="20"/>
            <w:u w:val="single"/>
            <w:vertAlign w:val="baseline"/>
          </w:rPr>
          <w:t>http://www.leiroc.org/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45.6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 indication that the swap is a post-allocation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If the swap is a post-allocation swap, the unique swap identifier;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A unique swap identifier is a unique identifier assigned to all swap transactions which identifies the transaction (the swap and its counterparties) uniquely throughout the duration of the swap's existence.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17 CFR 45.5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Block trade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Execution timestamp;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Timestamp for submission to swap data repository ("SDR");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A swap data repository is any person that collects and maintains information or records with respect to transactions or positions in, or the terms and conditions of, swaps entered into by third parties for the purpose of providing a centralized recordkeeping facility for swaps. </w:t>
      </w:r>
      <w:hyperlink r:id="rId9" w:history="1">
        <w:r>
          <w:rPr>
            <w:rFonts w:ascii="arial" w:eastAsia="arial" w:hAnsi="arial" w:cs="arial"/>
            <w:b w:val="0"/>
            <w:i/>
            <w:strike w:val="0"/>
            <w:noProof w:val="0"/>
            <w:color w:val="0077CC"/>
            <w:position w:val="0"/>
            <w:sz w:val="20"/>
            <w:u w:val="single"/>
            <w:vertAlign w:val="baseline"/>
          </w:rPr>
          <w:t>7 U.S.C. 1a(48)</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17 CFR 1.3</w:t>
        </w:r>
      </w:hyperlink>
      <w:r>
        <w:rPr>
          <w:rFonts w:ascii="arial" w:eastAsia="arial" w:hAnsi="arial" w:cs="arial"/>
          <w:b w:val="0"/>
          <w:i w:val="0"/>
          <w:strike w:val="0"/>
          <w:noProof w:val="0"/>
          <w:color w:val="000000"/>
          <w:position w:val="0"/>
          <w:sz w:val="20"/>
          <w:u w:val="none"/>
          <w:vertAlign w:val="baseline"/>
        </w:rPr>
        <w:t>(qqqq).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Clearing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Clearing 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If the swap will not be cleared, an indication of whether the clearing requirement exception in CEA Section 2(h)(7) n22 has been elected;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Generally speaking, Section 2(h)(1)(A) of the CEA establishes a clearing requirement for swaps, providing that "[i]t shall be unlawful for any person to engage in a swap unless that person submits such swap for clearing to a derivatives clearing organization that is registered under [the CEA] or a derivatives clearing organization that is exempt from registration under [the CEA] if the swap is required to be cleared." </w:t>
      </w:r>
      <w:hyperlink r:id="rId21" w:history="1">
        <w:r>
          <w:rPr>
            <w:rFonts w:ascii="arial" w:eastAsia="arial" w:hAnsi="arial" w:cs="arial"/>
            <w:b w:val="0"/>
            <w:i/>
            <w:strike w:val="0"/>
            <w:noProof w:val="0"/>
            <w:color w:val="0077CC"/>
            <w:position w:val="0"/>
            <w:sz w:val="20"/>
            <w:u w:val="single"/>
            <w:vertAlign w:val="baseline"/>
          </w:rPr>
          <w:t>7 U.S.C. 2(h)(1)(A)</w:t>
        </w:r>
      </w:hyperlink>
      <w:r>
        <w:rPr>
          <w:rFonts w:ascii="arial" w:eastAsia="arial" w:hAnsi="arial" w:cs="arial"/>
          <w:b w:val="0"/>
          <w:i w:val="0"/>
          <w:strike w:val="0"/>
          <w:noProof w:val="0"/>
          <w:color w:val="000000"/>
          <w:position w:val="0"/>
          <w:sz w:val="20"/>
          <w:u w:val="none"/>
          <w:vertAlign w:val="baseline"/>
        </w:rPr>
        <w:t xml:space="preserve">. CEA Section 2(h)(7), however, provides for several limited exceptions to the clearing requirement of Section 2(h)(1)(A).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2(h)(7);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End-User Exception to the Clearing Requirement for Swaps, </w:t>
      </w:r>
      <w:hyperlink r:id="rId22" w:history="1">
        <w:r>
          <w:rPr>
            <w:rFonts w:ascii="arial" w:eastAsia="arial" w:hAnsi="arial" w:cs="arial"/>
            <w:b w:val="0"/>
            <w:i/>
            <w:strike w:val="0"/>
            <w:noProof w:val="0"/>
            <w:color w:val="0077CC"/>
            <w:position w:val="0"/>
            <w:sz w:val="20"/>
            <w:u w:val="single"/>
            <w:vertAlign w:val="baseline"/>
          </w:rPr>
          <w:t>77 FR 42560, 42560-61</w:t>
        </w:r>
      </w:hyperlink>
      <w:r>
        <w:rPr>
          <w:rFonts w:ascii="arial" w:eastAsia="arial" w:hAnsi="arial" w:cs="arial"/>
          <w:b w:val="0"/>
          <w:i w:val="0"/>
          <w:strike w:val="0"/>
          <w:noProof w:val="0"/>
          <w:color w:val="000000"/>
          <w:position w:val="0"/>
          <w:sz w:val="20"/>
          <w:u w:val="none"/>
          <w:vertAlign w:val="baseline"/>
        </w:rPr>
        <w:t xml:space="preserve"> (July 19,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identity of the counterparty electing the clearing requirement exception in CEA Section 2(h)(7).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CFTC Staff Letter No. 13-31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ISDA contended generally that the definition of "material terms" in § 23.500(g) is too broad to guide market participants in the construction of a reconciliation process, and with regard to the No-Action Excluded Data Fields specifically, ISDA argued that these fields are not relevant to the portfolio reconciliation process because they pertain to the circumstances </w:t>
      </w:r>
      <w:r>
        <w:rPr>
          <w:rFonts w:ascii="arial" w:eastAsia="arial" w:hAnsi="arial" w:cs="arial"/>
          <w:b/>
          <w:i w:val="0"/>
          <w:strike w:val="0"/>
          <w:noProof w:val="0"/>
          <w:color w:val="000000"/>
          <w:position w:val="0"/>
          <w:sz w:val="20"/>
          <w:u w:val="none"/>
          <w:vertAlign w:val="baseline"/>
        </w:rPr>
        <w:t> [*57131] </w:t>
      </w:r>
      <w:r>
        <w:rPr>
          <w:rFonts w:ascii="arial" w:eastAsia="arial" w:hAnsi="arial" w:cs="arial"/>
          <w:b w:val="0"/>
          <w:i w:val="0"/>
          <w:strike w:val="0"/>
          <w:noProof w:val="0"/>
          <w:color w:val="000000"/>
          <w:position w:val="0"/>
          <w:sz w:val="20"/>
          <w:u w:val="none"/>
          <w:vertAlign w:val="baseline"/>
        </w:rPr>
        <w:t xml:space="preserve"> surrounding entry into a transaction, and whether a transaction was intended to be cleared, and are not relevant to ongoing rights and obligations under swaps in a swap portfolio existing bilaterally between an SD and a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ISDA's request, the Commission's Division of Swap Dealer and Intermediary Oversight (the "Division") provided SDs and MSPs with no-action relief on June 26, 2013, pursuant to CFTC Staff Letter 13-31. n24 In such letter, the Division chose not to interpret the reference to "the terms" of a swap in § 23.500(i)(1) as meaning the "material terms" or to define "material terms" to mean the "primary economic terms" of a swap minus the No-Action Excluded Data Fields. Rather, the Division merely stated that it would not recommend an enforcement action against an SD or MSP that omits the No-Action Excluded Data Fields from the portfolio reconciliation process required under § 23.502. n25 Thus, it appears that following the issuance of CFTC Staff Letter 13-31, an SD that chose to take advantage of the relief could consider the No-Action Excluded Data Fields not to be terms of a swap required to be exchanged with a counterparty in a portfolio reconciliation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Against this background, the Commission is now proposing to amend the definition of "material terms" in § 23.500(g) to specifically exclude a modified version of the No-Action Excluded Data Fields. As amended, § 23.500(g) would exclude the following data fields from the definition of "material terms" (hereinafter referred to as the "Proposed Excluded Data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 indication that the swap will be allocated;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If the swap will be allocated, or is a post-allocation swap, the legal entity identifier n26 of the agent;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A legal entity identifier is "a 20-digit, alpha-numeric code, to uniquely identify legally distinct entities that engage in financial transactions."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Legal Entity Identifier Regulatory Oversight Committee, </w:t>
      </w:r>
      <w:hyperlink r:id="rId18" w:history="1">
        <w:r>
          <w:rPr>
            <w:rFonts w:ascii="arial" w:eastAsia="arial" w:hAnsi="arial" w:cs="arial"/>
            <w:b w:val="0"/>
            <w:i/>
            <w:strike w:val="0"/>
            <w:noProof w:val="0"/>
            <w:color w:val="0077CC"/>
            <w:position w:val="0"/>
            <w:sz w:val="20"/>
            <w:u w:val="single"/>
            <w:vertAlign w:val="baseline"/>
          </w:rPr>
          <w:t>http://www.leiroc.org/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45.6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 indication that the swap is a post-allocation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If the swap is a post-allocation swap, the unique swap identifier; n27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A unique swap identifier is a unique identifier assigned to all swap transactions which identifies the transaction (the swap and its counterparties) uniquely throughout the duration of the swap's existence.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17 CFR 45.5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Block trade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With respect to a cleared swap, the execution timestamp;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With respect to a cleared swap, the timestamp for submission to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Clearing indicator;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Clearing 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Excluded Data Fields modify the No-Action Excluded Data Fields by: (1) Amending the execution timestamp data field to be specific to cleared swaps; (2) amending the timestamp for submission to an SDR data field to be specific to cleared swaps; (3) removing the data field containing an indication of whether the clearing requirement exception in CEA Section 2(h)(7) has been elected with respect to an uncleared swap; and (4) removing the data field containing the identity of the counterparty electing the clearing requirement exception in CEA Section 2(h)(7). The Commission is proposing to retain these data fields for uncleared swaps as "material terms" because a discrepancy in this information in the records of the counterparties could mean that the related information is erroneous in the records of an SDR, which could have an impact on the Commission's regulatory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time of execution of an uncleared swap and the time of submission to an SDR is of regulatory value to the Commission for purposes of determining the compliance of SDs and MSPs with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n28 Similarly, the identity of a counterparty electing the end-user exception to clearing is important to the Commission's enforcement of the clearing requirement and its monitoring of systemic risk in the OTC markets under its jurisdiction. Thus, the Commission believes it is reasonable to require SDs, MSPs, and their counterparties to resolve any discrepancy in these data fields and, if necessary, correct the information reported to an SDR.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For example, among other things, the time of execution of a swap between an SD and a counterparty may be relevant to determining the SD's compliance with the deadlines for confirmation of the swap set forth in § 23.501. Likewise, the time of execution and the time of reporting to an SDR may be relevant to determining the SD's compliance with the reporting deadlines set forth in part 45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Reporting counterparties are required to correct errors and omissions in data previously reported to an SDR pursuant to § 45.14.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intends that, if and when the proposed amendment to the definition of "material terms" is adopted, it will direct the Division to withdraw the no-action relief provided pursuant to CFTC Letter 13-31. Accordingly, under this proposal, the Commission is maintaining the status quo of § 23.502 in that SDs and MSPs and their counterparties would be required to exchange "the terms" of a swap as required under § 23.500(i)(1) and would have to resolve discrepancies in "material terms" of swaps pursuant to § 23.502(a)(4) and (b)(4). However, "material terms" would not include the Proposed Excluded Data Fields. This requirement differs from what may be the current practice of SDs and MSPs that have chosen to take advantage of the relief provided in CFTC Staff Letter 13-31. Such SDs and MSPs may be omitting the No-Action Excluded Data Fields from the portfolio reconciliation process altogether and not exchanging such terms at all, or if exchanging them, choosing not to resolve discrepancies that may be discovered. If the Commission's proposal is adopted, such SDs and MSPs would be required to resume exchanging the terms included in the Proposed Excluded Data Fields, although they could continue the practice of choosing not to resolve discrepancies in such terms. In addition, SDs and MSPs would have to resolve discrepancies in execution and SDR submission timestamps for cleared swaps, and discrepancies in the identities of counterparties electing the end-user exception from clearing, which may not be the practice for SDs and MSPs that have been relying on CFTC Staff Letter 13-31.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the intention of the Commission's proposal to alleviate the burden of resolving discrepancies in terms of a swap that are not relevant to the ongoing rights and obligations of the parties and the valuation of the swap, or to the Commission's regulatory mission. However, with respect to at least some of the No-Action Excluded Data Fields and the corresponding information that is included in the Proposed Excluded Data Fields, the Commission questions whether such data is actually required to be included in any ongoing portfolio reconciliation exercise. For example, the "clearing indicator" and "clearing venue" items included in the Proposed Excluded Data Fields pertain to a swap only until it is extinguished when accepted for clearing by a DCO. n30 When extinguished, the original swap would no longer be subject to portfolio reconciliation, n31 and, as explained </w:t>
      </w:r>
      <w:r>
        <w:rPr>
          <w:rFonts w:ascii="arial" w:eastAsia="arial" w:hAnsi="arial" w:cs="arial"/>
          <w:b/>
          <w:i w:val="0"/>
          <w:strike w:val="0"/>
          <w:noProof w:val="0"/>
          <w:color w:val="000000"/>
          <w:position w:val="0"/>
          <w:sz w:val="20"/>
          <w:u w:val="none"/>
          <w:vertAlign w:val="baseline"/>
        </w:rPr>
        <w:t> [*57132] </w:t>
      </w:r>
      <w:r>
        <w:rPr>
          <w:rFonts w:ascii="arial" w:eastAsia="arial" w:hAnsi="arial" w:cs="arial"/>
          <w:b w:val="0"/>
          <w:i w:val="0"/>
          <w:strike w:val="0"/>
          <w:noProof w:val="0"/>
          <w:color w:val="000000"/>
          <w:position w:val="0"/>
          <w:sz w:val="20"/>
          <w:u w:val="none"/>
          <w:vertAlign w:val="baseline"/>
        </w:rPr>
        <w:t xml:space="preserve"> above, portfolio reconciliation is not required for cleared swaps. n32 As noted below, the Commission seeks comment on whether such terms should be included in the Proposed Excluded Data Fields.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17 CFR 23.504(b)(6)</w:t>
        </w:r>
      </w:hyperlink>
      <w:r>
        <w:rPr>
          <w:rFonts w:ascii="arial" w:eastAsia="arial" w:hAnsi="arial" w:cs="arial"/>
          <w:b w:val="0"/>
          <w:i w:val="0"/>
          <w:strike w:val="0"/>
          <w:noProof w:val="0"/>
          <w:color w:val="000000"/>
          <w:position w:val="0"/>
          <w:sz w:val="20"/>
          <w:u w:val="none"/>
          <w:vertAlign w:val="baseline"/>
        </w:rPr>
        <w:t xml:space="preserve"> (" . . . upon acceptance of a swap by a derivatives clearing organization: (i) The original swap is extinguished; (ii) The original swap is replaced by equal and opposite swaps with the derivatives clearing organization; and (iii) All terms of the swap shall conform to the product specifications of the cleared swap established under the derivative clearing organization's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The Commission notes that portfolio reconciliation only applies to swaps currently in effect between an SD or MSP and a particular counterparty, not to expired or terminated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Definition of "swap portfolio," </w:t>
      </w:r>
      <w:hyperlink r:id="rId14" w:history="1">
        <w:r>
          <w:rPr>
            <w:rFonts w:ascii="arial" w:eastAsia="arial" w:hAnsi="arial" w:cs="arial"/>
            <w:b w:val="0"/>
            <w:i/>
            <w:strike w:val="0"/>
            <w:noProof w:val="0"/>
            <w:color w:val="0077CC"/>
            <w:position w:val="0"/>
            <w:sz w:val="20"/>
            <w:u w:val="single"/>
            <w:vertAlign w:val="baseline"/>
          </w:rPr>
          <w:t>17 CFR 23.500(k)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Portfolio Reconciliation Final Rule, 77 FR at 55927.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notes that it is not proposing an amendment to § 23.500(i)(1) that would exclude the Proposed Excluded Data Fields from portfolio reconciliation altogether. Thus the Commission is not proposing to change the existing requirement under § 23.502 that parties must exchange terms of all swaps in a mutual portfolio, but need only resolve discrepancies over material terms and valuations. As stated above, the Commission recognizes that the proposed amendment would not have the same effect as the no-action relief provided by the Division in CFTC Staff Letter 13-31. Nevertheless, the Commission has determined that it would be premature to propose to codify the staff relief without considering comments from the public on the nature of the post-Dodd-Frank-Act portfolio reconciliation process and how the Proposed Excluded Data Fields relate to that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that the proposed rule would, if adopted, achieve its stated purpose, the Commission requests comment generally on all aspects of the proposed rule. Specifically, the Commission requests comment on the following: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the Commission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relief identical to that granted in CFTC Letter No. 13-31? Alternatively, should the Commission amend § 23.500(i)(1) so that counterparties only have to exchange the "material terms" (which would not include the Proposed Excluded Data Fields) of swaps? Or, lastly, should the Commission adopt its current proposal which is to only remove the Proposed Excluded Data Fields from the definition of "material terms" that counterparties must resolve for discrepancies pursuant to § 23.500(i)(3)?</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Commission's Proposed Excluded Data Fields not include the execution and SDR submission timestamps for uncleared swaps? Please explain why or why not.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Commission's Proposed Excluded Data Fields include an indication of the election of the clearing exception in CEA Section 2(h)(7) and/or the identity of the counterparty electing such clearing requirement exception? Please explain why or why not.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other items in the Proposed Excluded Data Fields that may have material regulatory value to the Commission or that may be relevant to the ongoing rights and obligations of the parties and the valuation of the swap and, thus, should not be included in the Proposed Excluded Data Fields? Please explain why or why not.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each of the Proposed Excluded Data Fields actually required to be included in any ongoing portfolio reconciliation exercise, and, if not, should any such term be removed from the list of Proposed Excluded Data Fields? Please explain why or why not.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any other "material term" as defined in § 23.500(g) be included in the list of Proposed Excluded Data Fields? Please explain why or why not.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the Commission amend § 23.500(g) so that the term, "material terms," is defined as all terms of a swap required to be reported in accordance with part 45 of the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other than the Proposed Excluded Data Fields, as proposed? Please explain why or why not.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extent does the proposed amendment facilitate (or fail to facilitate) the policy objectives of portfolio reconciliation? Feel free to reference specific terms listed in the Proposed Excluded Data Fields in your answer.</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are the cost savings realized by not having to resolve discrepancies in the Proposed Excluded Data Fields? If any other alternative approach should be considered, what cost savings would be realized by such alternative approach? Commenters are encouraged to quantify these cost savings.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Related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n33 requires that agencies consider whether the rules they propose will have a significant economic impact on a substantial number of small entities and, if so, provide a regulatory flexibility analysis reflecting the impact. For purposes of resolving any discrepancy in material terms and valuations,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amend the definition in § 23.500(g) of the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that the term "material terms" (which is used in § 23.500(i)(3)) is defined as all terms of a swap required to be reported in accordance with part 45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other than the Proposed Excluded Data Fields. As noted above, clause (3) of the definition of "portfolio reconciliation" in § 23.500(i) requires the parties to resolve any discrepancy in "material terms" and valuations. As a result of the proposed change to the definition of "material terms" in § 23.500(g) of the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SDs and MSPs would not need to include the Proposed Excluded Data Fields n34 in any resolution of discrepancies of material terms or valuations when engaging in portfolio reconciliation. The Commission has previously determined that SDs and MSPs are not small entities for purposes of the Regulatory Flexibility Act. n35 Furthermore, any financial end users that may be indirectly n36 impacted by the proposed rule are likely to be eligible contract participants, and, as such, they would not be small entities.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 above for a list of "Proposed Excluded Data Fields" and proposed § 23.500(g) of the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Policy Statement and Establishment of Definitions of "Small Entities" for Purposes of the Regulatory Flexibility Act, </w:t>
      </w:r>
      <w:hyperlink r:id="rId24" w:history="1">
        <w:r>
          <w:rPr>
            <w:rFonts w:ascii="arial" w:eastAsia="arial" w:hAnsi="arial" w:cs="arial"/>
            <w:b w:val="0"/>
            <w:i/>
            <w:strike w:val="0"/>
            <w:noProof w:val="0"/>
            <w:color w:val="0077CC"/>
            <w:position w:val="0"/>
            <w:sz w:val="20"/>
            <w:u w:val="single"/>
            <w:vertAlign w:val="baseline"/>
          </w:rPr>
          <w:t>47 FR 18618, 18619</w:t>
        </w:r>
      </w:hyperlink>
      <w:r>
        <w:rPr>
          <w:rFonts w:ascii="arial" w:eastAsia="arial" w:hAnsi="arial" w:cs="arial"/>
          <w:b w:val="0"/>
          <w:i w:val="0"/>
          <w:strike w:val="0"/>
          <w:noProof w:val="0"/>
          <w:color w:val="000000"/>
          <w:position w:val="0"/>
          <w:sz w:val="20"/>
          <w:u w:val="none"/>
          <w:vertAlign w:val="baseline"/>
        </w:rPr>
        <w:t xml:space="preserve"> (Apr. 30, 1982).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The Regulatory Flexibility Act focuses on direct impact to small entities and not on indirect impacts on these businesses, which may be tenuous and difficult to discern. </w:t>
      </w:r>
      <w:r>
        <w:rPr>
          <w:rFonts w:ascii="arial" w:eastAsia="arial" w:hAnsi="arial" w:cs="arial"/>
          <w:b w:val="0"/>
          <w:i/>
          <w:strike w:val="0"/>
          <w:noProof w:val="0"/>
          <w:color w:val="000000"/>
          <w:position w:val="0"/>
          <w:sz w:val="20"/>
          <w:u w:val="none"/>
          <w:vertAlign w:val="baseline"/>
        </w:rPr>
        <w:t xml:space="preserve">See </w:t>
      </w:r>
      <w:hyperlink r:id="rId25" w:history="1">
        <w:r>
          <w:rPr>
            <w:rFonts w:ascii="arial" w:eastAsia="arial" w:hAnsi="arial" w:cs="arial"/>
            <w:b w:val="0"/>
            <w:i/>
            <w:strike w:val="0"/>
            <w:noProof w:val="0"/>
            <w:color w:val="0077CC"/>
            <w:position w:val="0"/>
            <w:sz w:val="20"/>
            <w:u w:val="single"/>
            <w:vertAlign w:val="baseline"/>
          </w:rPr>
          <w:t>Mid-Tex Elec. Coop., Inc. v.  FERC, 773 F.2d 327, 340 (D.C. Cir. 1985);</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Am. Trucking Assns. v.  EPA, 175 F.3d 1027, 1043 (D.C. Cir. 1985).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Opting Out of Segregation, </w:t>
      </w:r>
      <w:hyperlink r:id="rId27" w:history="1">
        <w:r>
          <w:rPr>
            <w:rFonts w:ascii="arial" w:eastAsia="arial" w:hAnsi="arial" w:cs="arial"/>
            <w:b w:val="0"/>
            <w:i/>
            <w:strike w:val="0"/>
            <w:noProof w:val="0"/>
            <w:color w:val="0077CC"/>
            <w:position w:val="0"/>
            <w:sz w:val="20"/>
            <w:u w:val="single"/>
            <w:vertAlign w:val="baseline"/>
          </w:rPr>
          <w:t>66 FR 20740, 20743</w:t>
        </w:r>
      </w:hyperlink>
      <w:r>
        <w:rPr>
          <w:rFonts w:ascii="arial" w:eastAsia="arial" w:hAnsi="arial" w:cs="arial"/>
          <w:b w:val="0"/>
          <w:i w:val="0"/>
          <w:strike w:val="0"/>
          <w:noProof w:val="0"/>
          <w:color w:val="000000"/>
          <w:position w:val="0"/>
          <w:sz w:val="20"/>
          <w:u w:val="none"/>
          <w:vertAlign w:val="baseline"/>
        </w:rPr>
        <w:t xml:space="preserve"> (Apr. 25,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for the reasons stated above, the Commission preliminarily believes that the proposal will not have a significant economic impact on a substantial number of small entities. Accordingly, the Chairman, on behalf of the Commission, hereby certifies,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release would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Paperwork Reduction Act of 1995 ("PRA") n38 imposes certain requirements on Federal agencies, including the Commission, in connection with their conducting or sponsoring any collection of information, as defined by the PRA. An agency may not conduct or sponsor, and a person is not required to respond to, a collection of information unless it displays a currently valid control number. This proposed rulemaking would result in an amendment to existing collection of information OMB Control Number 3038-0068 with respect to the collection of information entitled "Confirmation, Portfolio Reconciliation, and Portfolio Compression Requirements for Swap Dealers and </w:t>
      </w:r>
      <w:r>
        <w:rPr>
          <w:rFonts w:ascii="arial" w:eastAsia="arial" w:hAnsi="arial" w:cs="arial"/>
          <w:b/>
          <w:i w:val="0"/>
          <w:strike w:val="0"/>
          <w:noProof w:val="0"/>
          <w:color w:val="000000"/>
          <w:position w:val="0"/>
          <w:sz w:val="20"/>
          <w:u w:val="none"/>
          <w:vertAlign w:val="baseline"/>
        </w:rPr>
        <w:t> [*57133] </w:t>
      </w:r>
      <w:r>
        <w:rPr>
          <w:rFonts w:ascii="arial" w:eastAsia="arial" w:hAnsi="arial" w:cs="arial"/>
          <w:b w:val="0"/>
          <w:i w:val="0"/>
          <w:strike w:val="0"/>
          <w:noProof w:val="0"/>
          <w:color w:val="000000"/>
          <w:position w:val="0"/>
          <w:sz w:val="20"/>
          <w:u w:val="none"/>
          <w:vertAlign w:val="baseline"/>
        </w:rPr>
        <w:t xml:space="preserve"> Major Swap Participants." n39 The Commission is therefore submitting this proposal to the Office of Management and Budget (OMB) for review. The Commission previously discussed, for purposes of the PRA, the burden n40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mandating,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portfolio reconciliation would impose on market participants. n41 In particular, the Commission estimated the burden to be 1,282.5 hours for each SD and MSP, and the aggregate burden for registrants--based on a then-projected 125 registrants--was 160,312.5 burden hours. n42 Since the Commission finalized the rules for SDs and MSPs, 104 entities have provisionally registered as SDs and two entities have provisionally registered as MSPs, for a total of 106 registrants. n43 Accordingly, based on the original estimate of 1,282.5 burden hours for each SD and MSP, the aggregate burden for all registrants is estimated at 135,945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hyperlink r:id="rId28"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OMB Control No. 3038-0068, </w:t>
      </w:r>
      <w:hyperlink r:id="rId29" w:history="1">
        <w:r>
          <w:rPr>
            <w:rFonts w:ascii="arial" w:eastAsia="arial" w:hAnsi="arial" w:cs="arial"/>
            <w:b w:val="0"/>
            <w:i/>
            <w:strike w:val="0"/>
            <w:noProof w:val="0"/>
            <w:color w:val="0077CC"/>
            <w:position w:val="0"/>
            <w:sz w:val="20"/>
            <w:u w:val="single"/>
            <w:vertAlign w:val="baseline"/>
          </w:rPr>
          <w:t>http://www.reginfo.gov/public/do/PRAOMBHistory?ombControlNumber=3038-0068</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"For purposes of the PRA, the term burden' means the time, effort, or financial resources expended by persons to generate, maintain, or provide information to or for a Federal Agency.' " Portfolio Reconciliation Final Rule, 77 FR at 55959.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Portfolio Reconciliation Final Rule, 77 FR at 55958-60.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Portfolio Reconciliation Final Rule, 77 FR at 55959.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Provisionally Registered Swap Dealers as of June 17, 2015, </w:t>
      </w:r>
      <w:hyperlink r:id="rId30" w:history="1">
        <w:r>
          <w:rPr>
            <w:rFonts w:ascii="arial" w:eastAsia="arial" w:hAnsi="arial" w:cs="arial"/>
            <w:b w:val="0"/>
            <w:i/>
            <w:strike w:val="0"/>
            <w:noProof w:val="0"/>
            <w:color w:val="0077CC"/>
            <w:position w:val="0"/>
            <w:sz w:val="20"/>
            <w:u w:val="single"/>
            <w:vertAlign w:val="baseline"/>
          </w:rPr>
          <w:t>http://www.cftc.gov/LawRegulation/DoddFrankAct/registerswapdealer</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Provisionally Registered Major Swap Participants as of March 1, 2013, </w:t>
      </w:r>
      <w:hyperlink r:id="rId31" w:history="1">
        <w:r>
          <w:rPr>
            <w:rFonts w:ascii="arial" w:eastAsia="arial" w:hAnsi="arial" w:cs="arial"/>
            <w:b w:val="0"/>
            <w:i/>
            <w:strike w:val="0"/>
            <w:noProof w:val="0"/>
            <w:color w:val="0077CC"/>
            <w:position w:val="0"/>
            <w:sz w:val="20"/>
            <w:u w:val="single"/>
            <w:vertAlign w:val="baseline"/>
          </w:rPr>
          <w:t>http://www.cftc.gov/LawRegulation/DoddFrankAct/registermajorswappart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amend the definition in § 23.500(g) of the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that the term "material terms" (which is used in § 23.500(i)(3)) is defined as all terms of a swap required to be reported in accordance with part 45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other than the Proposed Excluded Data Fields. n44 As noted above, clause (3) of the definition of "portfolio reconciliation" in § 23.500(i) requires the parties to resolve any discrepancy in "material terms" and valuations. The proposed change would clarify that SDs and MSPs would not need to include the Proposed Excluded Data Fields in any resolution of discrepancies of material terms or 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As noted earlier, the proposed rule is amending the definition of the term "material terms" at § 23.500(g) to exclude nine data fields that would not be considered "material terms" in the definition of the term "portfolio reconciliation" of § 23.500(i)(3).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rule change proposed herein would reduce the number of "material terms" that counterparties would need to resolve for discrepancies in portfolio reconciliation exercises, but would not eliminate the portfolio reconciliation requirement itself. However, the Commission believes that the changes proposed to the regulatory definition of "material terms" described herein would reduce the time burden for portfolio reconciliation by one burden hour for each SD and MSP, which would reduce the annual burden to 1,281.5 hours per SD and MSP. The Commission believes that the proposed rule would result in one hour of less work for computer programmers for SDs and MSPs because the programmers who have to match the needed data fields from two different databases would have fewer data fields to obtain and resolve for discrepancies. Given that there are 106 provisionally registered SDs and MSPs, the proposed rule, if adopted, would result in an aggregate burden of 135,839 burden hours. The Commission welcomes comments about the potential impact that this proposal would have on the time and cost burden associated with portfolio reconciliation.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Information Collection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invites the public and other Federal agencies to comment on any aspect of the reporting burdens discussed above. Pursuant to </w:t>
      </w:r>
      <w:hyperlink r:id="rId32" w:history="1">
        <w:r>
          <w:rPr>
            <w:rFonts w:ascii="arial" w:eastAsia="arial" w:hAnsi="arial" w:cs="arial"/>
            <w:b w:val="0"/>
            <w:i/>
            <w:strike w:val="0"/>
            <w:noProof w:val="0"/>
            <w:color w:val="0077CC"/>
            <w:position w:val="0"/>
            <w:sz w:val="20"/>
            <w:u w:val="single"/>
            <w:vertAlign w:val="baseline"/>
          </w:rPr>
          <w:t>44 U.S.C. 3506(c)(2)(B)</w:t>
        </w:r>
      </w:hyperlink>
      <w:r>
        <w:rPr>
          <w:rFonts w:ascii="arial" w:eastAsia="arial" w:hAnsi="arial" w:cs="arial"/>
          <w:b w:val="0"/>
          <w:i w:val="0"/>
          <w:strike w:val="0"/>
          <w:noProof w:val="0"/>
          <w:color w:val="000000"/>
          <w:position w:val="0"/>
          <w:sz w:val="20"/>
          <w:u w:val="none"/>
          <w:vertAlign w:val="baseline"/>
        </w:rPr>
        <w:t>, the Commission solicits comments in order to: (1) Evaluate whether the proposed collection of information is necessary for the proper performance of the functions of the Commission, including whether the information will have practical utility; (2) evaluate the accuracy of the Commission's estimate of the burden of the proposed collection of information; (3) determine whether there are ways to enhance the quality, utility, and clarity of the information to be collected; and (4) mitigate the burden of the collection of information on those who are to respond, including through the use of automated collection techniques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may be submitted directly to the Office of Information and Regulatory Affairs, by fax at (202) 395-6566 or by email at </w:t>
      </w:r>
      <w:hyperlink r:id="rId33" w:history="1">
        <w:r>
          <w:rPr>
            <w:rFonts w:ascii="arial" w:eastAsia="arial" w:hAnsi="arial" w:cs="arial"/>
            <w:b w:val="0"/>
            <w:i/>
            <w:strike w:val="0"/>
            <w:noProof w:val="0"/>
            <w:color w:val="0077CC"/>
            <w:position w:val="0"/>
            <w:sz w:val="20"/>
            <w:u w:val="single"/>
            <w:vertAlign w:val="baseline"/>
          </w:rPr>
          <w:t>OIRAsubmissions@omb.eop.gov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provide the Commission with a copy of submitted comments so that all comments can be summarized and addressed in the final rule preamble. Refer to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notice of proposed rulemaking for comment submission instructions to the Commission. A copy of the supporting statement for the collection of information discussed above may be obtained by visiting </w:t>
      </w:r>
      <w:hyperlink r:id="rId34" w:history="1">
        <w:r>
          <w:rPr>
            <w:rFonts w:ascii="arial" w:eastAsia="arial" w:hAnsi="arial" w:cs="arial"/>
            <w:b w:val="0"/>
            <w:i/>
            <w:strike w:val="0"/>
            <w:noProof w:val="0"/>
            <w:color w:val="0077CC"/>
            <w:position w:val="0"/>
            <w:sz w:val="20"/>
            <w:u w:val="single"/>
            <w:vertAlign w:val="baseline"/>
          </w:rPr>
          <w:t>http://reginfo.gov/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OMB is required to make a decision concerning the collection of information between 30 and 60 days after publication of this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Therefore, a comment is best assured of having its full effect if OMB receives it within 30 days of publication.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Considerations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15(a) of the CEA requires the Commission to consider the costs and benefits of its actions before promulgating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CEA or issuing an order. Section 15(a) further specifies that the costs and benefits shall be evaluated in light of the following five broad areas of market and public concern: (1) Protection of market participants and the public; (2)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futures markets; (3) price discovery; (4) sound risk management practices; and (5) other public interest considerations. The Commission considers the costs and benefits resulting from its discretionary determinations with respect to the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while portfolio reconciliation generally helps counterparties to manage risk by facilitating the resolution of discrepancies in material terms of swaps, forcing entities to resolve discrepancies in the Proposed Excluded Data Fields does not improve the management of risks in swaps portfolios. By eliminating the need to resolve discrepancies over material swap terms that remain constant (and that do not impact the valuation of the swap or the payment obligations of the counterparties) and thereby reducing the number of data fields that parties must resolve for differences in portfolio reconciliation exercises, the Commission believes this proposal will slightly decrease the costs that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on SDs and MSPs (and their counterparties) without a concomitant reduction in the benefits obtained from portfolio reconciliation exercises under the existing regulatory framework,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this proposal will slightly decrease the costs that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on SDs and MSPs (and their counterparties) because it would eliminate the need to verify and resolve discrepancies in swap terms that remain constant (or that do not impact the valuation of swaps or the payment obligations of the counterparties) and thereby reduce the number of data fields requiring particular attention in portfolio </w:t>
      </w:r>
      <w:r>
        <w:rPr>
          <w:rFonts w:ascii="arial" w:eastAsia="arial" w:hAnsi="arial" w:cs="arial"/>
          <w:b/>
          <w:i w:val="0"/>
          <w:strike w:val="0"/>
          <w:noProof w:val="0"/>
          <w:color w:val="000000"/>
          <w:position w:val="0"/>
          <w:sz w:val="20"/>
          <w:u w:val="none"/>
          <w:vertAlign w:val="baseline"/>
        </w:rPr>
        <w:t> [*57134] </w:t>
      </w:r>
      <w:r>
        <w:rPr>
          <w:rFonts w:ascii="arial" w:eastAsia="arial" w:hAnsi="arial" w:cs="arial"/>
          <w:b w:val="0"/>
          <w:i w:val="0"/>
          <w:strike w:val="0"/>
          <w:noProof w:val="0"/>
          <w:color w:val="000000"/>
          <w:position w:val="0"/>
          <w:sz w:val="20"/>
          <w:u w:val="none"/>
          <w:vertAlign w:val="baseline"/>
        </w:rPr>
        <w:t xml:space="preserve"> reconciliation exercises. n45 As mentioned previously, the Commission believes that this change will reduce the annual burden hours for each SD and MSP by one hour, resulting in a total of 1,281.5 hours, which leads to an aggregate number, based on 106 registrants, of 135,839 burden hours. The Commission previously estimated that, assuming 1,282.5 annual burden hours per SD and MSP, the financial cost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each SD and MSP would be $ 128,250. n46 Therefore, based on those prior estimates, a one-hour reduction in the annual burden hours for each SD and MSP would result in a financial cost of $ 128,150 per registrant. Accordingly, the Commission estimates that, if the proposed rule is adopted, the aggregate financial burden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SDs and MSPs would be $ 13,583,900.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The Commission notes the existence of CFTC Staff Letter No. 13-31 and that the Proposal, if finalized, could increase the burden for SDs, MSPs, and their counterparties relying on the relief in that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Portfolio Reconciliation Final Rule, 77 FR at 55959.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The Commission had estimated that, if 125 entities had registered as SDs and MSPs, the aggregate burden would be $ 16,031,250.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does not believe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increase the Commission's costs or impair the Commission's ability to oversee and regulate the swaps markets. Portfolio reconciliation is designed to enable counterparties to understand the current status or value of swap terms. As mentioned above, the Commission is proposing to amend the definition of "material terms" in § 23.500(g) so as to exclude the Proposed Excluded Data Fields because it preliminarily agrees with market participants that the Proposed Excluded Data Fields are not material to the ongoing rights and obligations of the counterparties to a swap. Because the Commission's proposal would only remove terms from the discrepancy resolution process for material terms, as opposed to the general portfolio reconciliation process or swaps reporting requirements, it will not negatively impact the amount of information available to the Commission about swaps. While the Commission believes that this proposal would reduce SDs', MSPs', or their counterparties' costs of complying with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it would reduce the number of terms that counterparties must periodically resolve for discrepancies during portfolio reconciliations), the Commission seeks specific comment on the following, and encourages commenters to provide quantitative information in their comments where practical):</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How will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affect the costs of portfolio reconciliation for swap counterparties? Is the Commission's estimate of cost reductions that would result from the proposed rule a reasonable estimate of cost savings that would be realized from adopting the proposal?</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Will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make the portfolio reconciliation process more or less expensive? How so?</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How would the proposed rule affect the ongoing costs of compliance with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other costs that the Commission should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are strongly encouraged to include quantitative information in their comment on this rulemaking where practical.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this proposal would benefit SDs, MSPs, and their counterparties because it will not require them to expend the resources necessary to resolve discrepancies over swap terms that are included in the Proposed Excluded Data Fields in accordance with tight regulatory timeframes. n48 The Commission requests comment on all aspects of its preliminary consideration of benefits and encourages commenters to provide quantitative information where practical. Has the Commission accurately identified the benefits of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there other benefits to the Commission, market participants, and/or the public that may result from the adoption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the Commission should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23.502(a)(4) requiring SDs and MSPs to resolve discrepancies in material terms immediately with counterparties that are also SDs or MSPs.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 23.502(b)(4) (requiring SDs and MSPs to resolve discrepancies in material terms and valuations in a timely fashion with counterparties that are not SDs or MSPs).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Section 15(a)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15(a) of the CEA requires the Commission to consider the effects of its actions in light of the following five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Protection of Market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notwithstanding its proposal to remove the Proposed Excluded Data Fields from the list of material terms that counterparties must periodically scrutinize to resolve any discrepancies,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continue to protect market participants and the public. The Commission, however, welcomes comment as to how market participants and the public may be protected or harmed by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its proposal, which will ensure that the parties resolving discrepancies in material terms and valuations in portfolio reconciliation exercises need not concern themselves with terms in the Proposed Excluded Data Fields may increase resource allocation efficiency of market participants engaging in reconciliation exercises without increasing the risk of harm to the financial integrity of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seeks comment as to how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promote or hinder the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not identified an impact on price discovery as a result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seeks comment as to any potential impact. Will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impact, positively or negatively, the price discovery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Sound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its proposal is consistent with sound risk management practices because the proposed regulatory change would not impair an entity's ability to conduct portfolio reconciliations. The Commission solicits comments on whether market participants believe the proposal will impact, positively or negatively, the risk management procedures or actions of SDs, MSPs, or their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Public Interest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not identified any other public interest considerations, but welcomes comment on whether this proposal would promote public confidence in the integrity of derivatives markets by ensuring meaningful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of all SDs and MSPs. Will this proposal impact, positively or negatively, any heretofore unidentified matter of interest to the public?</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Authority delegations (Government agencies), Commodity futures,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the preamble, the Commodity Futures </w:t>
      </w:r>
      <w:r>
        <w:rPr>
          <w:rFonts w:ascii="arial" w:eastAsia="arial" w:hAnsi="arial" w:cs="arial"/>
          <w:b/>
          <w:i w:val="0"/>
          <w:strike w:val="0"/>
          <w:noProof w:val="0"/>
          <w:color w:val="000000"/>
          <w:position w:val="0"/>
          <w:sz w:val="20"/>
          <w:u w:val="none"/>
          <w:vertAlign w:val="baseline"/>
        </w:rPr>
        <w:t> [*57135] </w:t>
      </w:r>
      <w:r>
        <w:rPr>
          <w:rFonts w:ascii="arial" w:eastAsia="arial" w:hAnsi="arial" w:cs="arial"/>
          <w:b w:val="0"/>
          <w:i w:val="0"/>
          <w:strike w:val="0"/>
          <w:noProof w:val="0"/>
          <w:color w:val="000000"/>
          <w:position w:val="0"/>
          <w:sz w:val="20"/>
          <w:u w:val="none"/>
          <w:vertAlign w:val="baseline"/>
        </w:rPr>
        <w:t xml:space="preserve"> Trading Commission proposes to amend 17 CFR part 23 as set forth below:</w:t>
      </w:r>
    </w:p>
    <w:p>
      <w:pPr>
        <w:numPr>
          <w:numId w:val="14"/>
        </w:numPr>
        <w:spacing w:before="120" w:line="240" w:lineRule="atLeast"/>
      </w:pPr>
      <w:r>
        <w:rPr>
          <w:b/>
          <w:i w:val="0"/>
          <w:sz w:val="20"/>
        </w:rPr>
        <w:t>OR SWAP PARTICIPANTS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 U.S.C. 1a</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6</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6a</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6b</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6b-1</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6c</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6p</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6r</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6s</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6t</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9</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9a</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12</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12a</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13b</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13c</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16a</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18</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19</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21</w:t>
        </w:r>
      </w:hyperlink>
      <w:r>
        <w:rPr>
          <w:rFonts w:ascii="arial" w:eastAsia="arial" w:hAnsi="arial" w:cs="arial"/>
          <w:b w:val="0"/>
          <w:i w:val="0"/>
          <w:strike w:val="0"/>
          <w:noProof w:val="0"/>
          <w:color w:val="000000"/>
          <w:position w:val="0"/>
          <w:sz w:val="20"/>
          <w:u w:val="none"/>
          <w:vertAlign w:val="baseline"/>
        </w:rPr>
        <w: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23.500(g) to read as follows:</w:t>
      </w:r>
    </w:p>
    <w:p>
      <w:pPr>
        <w:numPr>
          <w:numId w:val="1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all terms of a swap required to be reported in accordance with part 45 of this chapter other than the following:</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indication that the swap will be allocated;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swap will be allocated, or is a post-allocation swap, the legal entity identifier of the agent;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indication that the swap is a post-allocation swap;</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swap is a post-allocation swap, the unique swap identifier;</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Block trade indicator;</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 cleared swap, execution timestamp;</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 cleared swap, timestamp for submission to a swap data repository;</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Clearing indicator;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Clearing venue.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Issued in Washington, DC, on September 17, 2015, by the Commission.</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Christopher J. Kirkpatrick,</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 xml:space="preserve">Secretary of the Commission. </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following appendices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Appendices to Proposal To Amend the Definition of "Material Terms" for Purposes of Swap Portfolio Reconciliation--Commission Voting Summary, Chairman's Statement, and Commissioner's Statement</w:t>
      </w:r>
    </w:p>
    <w:p>
      <w:pPr>
        <w:numPr>
          <w:numId w:val="19"/>
        </w:numPr>
        <w:spacing w:before="120" w:line="240" w:lineRule="atLeast"/>
      </w:pPr>
      <w:r>
        <w:rPr>
          <w:b/>
          <w:i w:val="0"/>
          <w:sz w:val="20"/>
        </w:rPr>
        <w:t xml:space="preserve"> Summary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 this matter, Chairman Massad and Commissioners Bowen and Giancarlo voted in the affirmative. No Commissioner voted in the negative.</w:t>
      </w:r>
    </w:p>
    <w:p>
      <w:pPr>
        <w:numPr>
          <w:numId w:val="20"/>
        </w:numPr>
        <w:spacing w:before="120" w:line="240" w:lineRule="atLeast"/>
      </w:pPr>
      <w:r>
        <w:rPr>
          <w:b/>
          <w:i w:val="0"/>
          <w:sz w:val="20"/>
        </w:rPr>
        <w:t>rman Timothy G. Massad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support issuing this proposal to amend the definition of "material terms" for purposes of portfolio reconciliation performed by swap dealers and major swap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proposed amendment would replace an existing "no-action" letter issued during the implementation of the Dodd-Frank Act. This gives greater certainty to affected registrants and furthers the Commission's ongoing process of simplifying, fine-tuning, and harmonizing our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proposal not only seeks comment on the technical aspects of reconciling specific data fields excluded under the staff no-action letter, but also seeks answers to important questions regarding the experience of swap dealers and major swap participants in complying with the portfolio reconciliation requirement more generally. Further, it seeks comment on the relationship of portfolio reconciliation to the integrity of data reported to swap data repositories.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feedback of knowledgeable market participants on this proposal will allow the Commission to further its goal of continuously improving our recordkeeping, reporting, and data quality rules and practices. I encourage all market participants to join in this effort by examining the proposal and providing detailed comments. I look forward to reviewing them.</w:t>
      </w:r>
    </w:p>
    <w:p>
      <w:pPr>
        <w:numPr>
          <w:numId w:val="21"/>
        </w:numPr>
        <w:spacing w:before="120" w:line="240" w:lineRule="atLeast"/>
      </w:pPr>
      <w:r>
        <w:rPr>
          <w:b/>
          <w:i w:val="0"/>
          <w:sz w:val="20"/>
        </w:rPr>
        <w:t>issioner J. Christopher Giancarlo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its rush to implement the Dodd-Frank Act over the past few years, the Commission issued multiple rules that proved to be confusing, impracticable or unworkable, which in turn necessitated the unprecedented issuance of no-action relief, either due to unrealistic compliance deadlines, problematic elements of the rules or both. I trust that today's proposal from the Commission signals that the epoch of heedless rule production is drawing to a close.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is seeking comment on a proposed rule that would codify a modified version of no-action relief issued in 2013 (the "No-Action Relief") by the Division of Swap Dealer and Intermediary Oversight ("DSIO") pursuant to a request for an interpretive letter from the International Swaps and Derivatives Association ("ISDA"). The No-Action Relief allows Swap Dealers ("SDs") and Major Swap Participants ("MSPs") to treat certain Part 45 data fields as non-material for purposes of portfolio reconciliation under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23.502. n1</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Letter No. 13-31 (June 26, 2013).</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I commend the Chairman and DSIO staff for taking steps to replace the No-Action Relief with a rulemaking subject to a cost-benefit analysis and the notice and comment requirements of the Administrative Procedure Act. Reasonable people understood at the height of the Dodd-Frank rulemaking frenzy that the Commission would and could not get everything right. That is why actions like today's rule proposal are necessary and appropriate.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 urge the CFTC staff to continue down the path of bringing to the Commission for consideration amendments to flawed Dodd-Frank rulesets. It is appropriate as a matter of good government that we replace the hundreds of no-action, exemptive and interpretive letters, guidance, advisories and other communications, both written and unwritten, issued without a Commission vote in the wake of the Dodd-Frank Act with proper administrative rulemakings.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 support issuing for public comment the proposed amendments to the definition of "material terms" for purposes of portfolio reconciliation. As the public reviews this rule change and formulates comments, I would like to draw its attention to several aspects of the proposal.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23.502 requires SDs and MSPs to engage in portfolio reconciliation once each day, week or calendar quarter, depending on the size of the swap portfolio, and to resolve immediately any discrepancy in a material term. It is unclear why the Commission needs a daily, weekly, or quarterly reconciliation of data fields that will not change over time once established. In particular, I note that the proposed rule would continue to treat as material terms the execution timestamp and timestamp for submission to a swap data repository for uncleared swaps, an indication of whether the clearing requirement exception in section 2(h)(7) of the Commodity Exchange Act has been elected and the identity of the counterparty electing the clearing requirement exception. I am aware of the staff's concern that a discrepancy in these terms could negatively impact the Commission's regulatory mission, but question whether these terms will ever need to be reconciled after an initial verification.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 the other hand, I also question what additional burden will be placed on market participants by including these terms in the portfolio reconciliation process. I note that in its request for an interpretive letter ISDA stated that requiring reconciliation of data fields that are not relevant to the ongoing rights and obligations of the parties to a swap unnecessarily adds to the costs and complexity associated with implementing and managing the portfolio reconciliation process. n2 It would be most helpful if parties affected by the rule would submit detailed comments regarding these costs.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Request for Interpretive Letter--Part 23 dated May 31, 2013.</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It is also unclear why the Commission is proposing to retain the requirement that SDs and MSPs exchange non-material terms throughout the life of a swap as part of a portfolio reconciliation exercise.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23.500(i) defines portfolio reconciliation as the process by which two parties to one or more swaps: (1) Exchange "terms" (meaning all terms) of all swaps between the counterparties; (2) exchange each counterparty's valuation of each swap as of the close of business on the immediately preceding business day; and (3) resolve any discrepancy in "material" terms and valuations. I note that ISDA requested that the Commission narrow the definition of "terms" in Rule 23.500(i)(1) to mean "material terms," but the Commission is not proposing to do so. Thus, counterparties will be required to exchange all terms of each swap on a daily, weekly, or quarterly basis throughout the life of a swap, but will be required to reconcile only "material terms." As with treating the terms relating to timestamps and the clearing exception as "material terms" discussed above, I question the utility of including non-material terms that are not required to be reconciled as part of the portfolio reconciliation process. It would be most helpful if parties affected by </w:t>
      </w:r>
      <w:r>
        <w:rPr>
          <w:rFonts w:ascii="arial" w:eastAsia="arial" w:hAnsi="arial" w:cs="arial"/>
          <w:b/>
          <w:i w:val="0"/>
          <w:strike w:val="0"/>
          <w:noProof w:val="0"/>
          <w:color w:val="000000"/>
          <w:position w:val="0"/>
          <w:sz w:val="20"/>
          <w:u w:val="none"/>
          <w:vertAlign w:val="baseline"/>
        </w:rPr>
        <w:t> [*57136] </w:t>
      </w:r>
      <w:r>
        <w:rPr>
          <w:rFonts w:ascii="arial" w:eastAsia="arial" w:hAnsi="arial" w:cs="arial"/>
          <w:b w:val="0"/>
          <w:i w:val="0"/>
          <w:strike w:val="0"/>
          <w:noProof w:val="0"/>
          <w:color w:val="000000"/>
          <w:position w:val="0"/>
          <w:sz w:val="20"/>
          <w:u w:val="none"/>
          <w:vertAlign w:val="baseline"/>
        </w:rPr>
        <w:t xml:space="preserve"> the rule would submit detailed comments weighing the burdens against benefits of continuing to include such non-material terms.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 look forward to thoughtful comments on all aspects of the proposal.</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2015-24021 Filed 9-21-15;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6351-01-P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November 23,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RIN 3038-AE17, and Proposal to Amend the Definition of "Material Terms" for Purposes of Swap Portfolio Reconciliation by any of the following methods: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agency's Web site, at </w:t>
      </w:r>
      <w:hyperlink r:id="rId52" w:history="1">
        <w:r>
          <w:rPr>
            <w:rFonts w:ascii="arial" w:eastAsia="arial" w:hAnsi="arial" w:cs="arial"/>
            <w:b w:val="0"/>
            <w:i/>
            <w:strike w:val="0"/>
            <w:noProof w:val="0"/>
            <w:color w:val="0077CC"/>
            <w:position w:val="0"/>
            <w:sz w:val="20"/>
            <w:u w:val="single"/>
            <w:vertAlign w:val="baseline"/>
          </w:rPr>
          <w:t>http://comments.cftc.gov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 through the Web site.</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Mail: Christopher Kirkpatrick, Secretary of the Commission, Commodity Futures Trading Commission, Three Lafayette Centre, 1155 21st Street NW., Washington, DC 20581.</w:t>
      </w:r>
    </w:p>
    <w:p>
      <w:pPr>
        <w:keepNext w:val="0"/>
        <w:numPr>
          <w:numId w:val="2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Same as Mail above.</w:t>
      </w:r>
    </w:p>
    <w:p>
      <w:pPr>
        <w:keepNext w:val="0"/>
        <w:numPr>
          <w:numId w:val="2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53" w:history="1">
        <w:r>
          <w:rPr>
            <w:rFonts w:ascii="arial" w:eastAsia="arial" w:hAnsi="arial" w:cs="arial"/>
            <w:b w:val="0"/>
            <w:i/>
            <w:strike w:val="0"/>
            <w:noProof w:val="0"/>
            <w:color w:val="0077CC"/>
            <w:position w:val="0"/>
            <w:sz w:val="20"/>
            <w:u w:val="single"/>
            <w:vertAlign w:val="baseline"/>
          </w:rPr>
          <w:t>http://www.</w:t>
        </w:r>
      </w:hyperlink>
      <w:hyperlink r:id="rId53" w:history="1">
        <w:r>
          <w:rPr>
            <w:rFonts w:ascii="arial" w:eastAsia="arial" w:hAnsi="arial" w:cs="arial"/>
            <w:b/>
            <w:i/>
            <w:strike w:val="0"/>
            <w:noProof w:val="0"/>
            <w:color w:val="0077CC"/>
            <w:position w:val="0"/>
            <w:sz w:val="20"/>
            <w:u w:val="single"/>
            <w:vertAlign w:val="baseline"/>
          </w:rPr>
          <w:t>regulations</w:t>
        </w:r>
      </w:hyperlink>
      <w:hyperlink r:id="rId5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submit your comments using only one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comments must be submitted in English, or if not, accompanied by an English translation. Comments will be posted as received to </w:t>
      </w:r>
      <w:hyperlink r:id="rId54" w:history="1">
        <w:r>
          <w:rPr>
            <w:rFonts w:ascii="arial" w:eastAsia="arial" w:hAnsi="arial" w:cs="arial"/>
            <w:b w:val="0"/>
            <w:i/>
            <w:strike w:val="0"/>
            <w:noProof w:val="0"/>
            <w:color w:val="0077CC"/>
            <w:position w:val="0"/>
            <w:sz w:val="20"/>
            <w:u w:val="single"/>
            <w:vertAlign w:val="baseline"/>
          </w:rPr>
          <w:t>http://www.cftc.gov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should submit only information that you wish to make available publicly. If you wish the Commission to consider information that you believe is exempt from disclosure under the Freedom of Information Act, a petition for confidential treatment of the exempt information may be submitted according to the procedures established in § 145.9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17 CFR 145.9.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referred to herein are found at 17 CFR Chapter 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reserves the right, but shall have no obligation, to review, pre-screen, filter, redact, refuse or remove any or all of your submission from </w:t>
      </w:r>
      <w:hyperlink r:id="rId54" w:history="1">
        <w:r>
          <w:rPr>
            <w:rFonts w:ascii="arial" w:eastAsia="arial" w:hAnsi="arial" w:cs="arial"/>
            <w:b w:val="0"/>
            <w:i/>
            <w:strike w:val="0"/>
            <w:noProof w:val="0"/>
            <w:color w:val="0077CC"/>
            <w:position w:val="0"/>
            <w:sz w:val="20"/>
            <w:u w:val="single"/>
            <w:vertAlign w:val="baseline"/>
          </w:rPr>
          <w:t>http://www.cftc.gov</w:t>
        </w:r>
      </w:hyperlink>
      <w:r>
        <w:rPr>
          <w:rFonts w:ascii="arial" w:eastAsia="arial" w:hAnsi="arial" w:cs="arial"/>
          <w:b w:val="0"/>
          <w:i w:val="0"/>
          <w:strike w:val="0"/>
          <w:noProof w:val="0"/>
          <w:color w:val="000000"/>
          <w:position w:val="0"/>
          <w:sz w:val="20"/>
          <w:u w:val="none"/>
          <w:vertAlign w:val="baseline"/>
        </w:rPr>
        <w:t xml:space="preserve"> that it may deem to be inappropriate for publication, such as obscene language. All submissions that have been redacted or removed that contain comments on the merits of the rulemaking will be retained in the public comment file and will be considered as required under the Administrative Procedure Act and other applicable laws, and may be accessible under the Freedom of Information 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Frank N. Fisanich, Chief Counsel, 202-418-5949, </w:t>
      </w:r>
      <w:hyperlink r:id="rId55" w:history="1">
        <w:r>
          <w:rPr>
            <w:rFonts w:ascii="arial" w:eastAsia="arial" w:hAnsi="arial" w:cs="arial"/>
            <w:b w:val="0"/>
            <w:i/>
            <w:strike w:val="0"/>
            <w:noProof w:val="0"/>
            <w:color w:val="0077CC"/>
            <w:position w:val="0"/>
            <w:sz w:val="20"/>
            <w:u w:val="single"/>
            <w:vertAlign w:val="baseline"/>
          </w:rPr>
          <w:t>ffisanich@cftc.gov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Katherine S. Driscoll, Associate Chief Counsel, 202-418-5544, </w:t>
      </w:r>
      <w:hyperlink r:id="rId56" w:history="1">
        <w:r>
          <w:rPr>
            <w:rFonts w:ascii="arial" w:eastAsia="arial" w:hAnsi="arial" w:cs="arial"/>
            <w:b w:val="0"/>
            <w:i/>
            <w:strike w:val="0"/>
            <w:noProof w:val="0"/>
            <w:color w:val="0077CC"/>
            <w:position w:val="0"/>
            <w:sz w:val="20"/>
            <w:u w:val="single"/>
            <w:vertAlign w:val="baseline"/>
          </w:rPr>
          <w:t>kdriscoll@cftc.gov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Gregory Scopino, Special Counsel, 202-418-5175, </w:t>
      </w:r>
      <w:hyperlink r:id="rId57" w:history="1">
        <w:r>
          <w:rPr>
            <w:rFonts w:ascii="arial" w:eastAsia="arial" w:hAnsi="arial" w:cs="arial"/>
            <w:b w:val="0"/>
            <w:i/>
            <w:strike w:val="0"/>
            <w:noProof w:val="0"/>
            <w:color w:val="0077CC"/>
            <w:position w:val="0"/>
            <w:sz w:val="20"/>
            <w:u w:val="single"/>
            <w:vertAlign w:val="baseline"/>
          </w:rPr>
          <w:t>gscopino@cftc.gov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Division of Swap Dealer and Intermediary Oversight, Commodity Futures Trading Commission, Three Lafayette Centre, 1155 21st Street NW., Washington, DC 20581.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57129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PART 23-- SWAP DEALERS AND MAJ"/>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 23.50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g) Material ter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Appendix 1-- Commission Vo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Appendix 2-- Statement of Cha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Appendix 3-- Statement of Com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RS7-P930-008G-Y3YP-00000-00&amp;context=" TargetMode="External" /><Relationship Id="rId11" Type="http://schemas.openxmlformats.org/officeDocument/2006/relationships/hyperlink" Target="https://advance.lexis.com/api/document?collection=statutes-legislation&amp;id=urn:contentItem:50P5-8F91-NRF4-4001-00000-00&amp;context=" TargetMode="External" /><Relationship Id="rId12" Type="http://schemas.openxmlformats.org/officeDocument/2006/relationships/hyperlink" Target="https://advance.lexis.com/api/document?collection=statutes-legislation&amp;id=urn:contentItem:4YF7-GHK1-NRF4-42DD-00000-00&amp;context=" TargetMode="External" /><Relationship Id="rId13" Type="http://schemas.openxmlformats.org/officeDocument/2006/relationships/hyperlink" Target="https://advance.lexis.com/api/document?collection=administrative-codes&amp;id=urn:contentItem:5PTC-4R70-008G-Y3BD-00000-00&amp;context=" TargetMode="External" /><Relationship Id="rId14" Type="http://schemas.openxmlformats.org/officeDocument/2006/relationships/hyperlink" Target="https://advance.lexis.com/api/document?collection=administrative-codes&amp;id=urn:contentItem:5PTC-4R70-008G-Y363-00000-00&amp;context=" TargetMode="External" /><Relationship Id="rId15" Type="http://schemas.openxmlformats.org/officeDocument/2006/relationships/hyperlink" Target="https://advance.lexis.com/api/document?collection=administrative-codes&amp;id=urn:contentItem:5PTC-4R70-008G-Y33C-00000-00&amp;context=" TargetMode="External" /><Relationship Id="rId16" Type="http://schemas.openxmlformats.org/officeDocument/2006/relationships/hyperlink" Target="https://advance.lexis.com/api/document?collection=administrative-codes&amp;id=urn:contentItem:54PR-VKM0-006W-81VC-00000-00&amp;context=" TargetMode="External" /><Relationship Id="rId17" Type="http://schemas.openxmlformats.org/officeDocument/2006/relationships/hyperlink" Target="http://www.cftc.gov/ucm/groups/public/@lrlettergeneral/documents/letter/13-31.pdf" TargetMode="External" /><Relationship Id="rId18" Type="http://schemas.openxmlformats.org/officeDocument/2006/relationships/hyperlink" Target="http://www.leiroc.org/" TargetMode="External" /><Relationship Id="rId19" Type="http://schemas.openxmlformats.org/officeDocument/2006/relationships/hyperlink" Target="https://advance.lexis.com/api/document?collection=administrative-codes&amp;id=urn:contentItem:5PTC-4R70-008G-Y33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PTC-4R70-008G-Y33H-00000-00&amp;context=" TargetMode="External" /><Relationship Id="rId21" Type="http://schemas.openxmlformats.org/officeDocument/2006/relationships/hyperlink" Target="https://advance.lexis.com/api/document?collection=statutes-legislation&amp;id=urn:contentItem:4YF7-GJ91-NRF4-44CM-00000-00&amp;context=" TargetMode="External" /><Relationship Id="rId22" Type="http://schemas.openxmlformats.org/officeDocument/2006/relationships/hyperlink" Target="https://advance.lexis.com/api/document?collection=administrative-codes&amp;id=urn:contentItem:564V-7460-006W-825P-00000-00&amp;context=" TargetMode="External" /><Relationship Id="rId23" Type="http://schemas.openxmlformats.org/officeDocument/2006/relationships/hyperlink" Target="https://advance.lexis.com/api/document?collection=administrative-codes&amp;id=urn:contentItem:5PTC-4R70-008G-Y3BG-00000-00&amp;context=" TargetMode="External" /><Relationship Id="rId24" Type="http://schemas.openxmlformats.org/officeDocument/2006/relationships/hyperlink" Target="https://advance.lexis.com/api/document?collection=administrative-codes&amp;id=urn:contentItem:3SD3-WVH0-000W-N4RH-00000-00&amp;context=" TargetMode="External" /><Relationship Id="rId25" Type="http://schemas.openxmlformats.org/officeDocument/2006/relationships/hyperlink" Target="https://advance.lexis.com/api/document?collection=cases&amp;id=urn:contentItem:3S4X-DS60-0039-P4X1-00000-00&amp;context=" TargetMode="External" /><Relationship Id="rId26" Type="http://schemas.openxmlformats.org/officeDocument/2006/relationships/hyperlink" Target="https://advance.lexis.com/api/document?collection=cases&amp;id=urn:contentItem:3WG7-M500-0038-X1W3-00000-00&amp;context=" TargetMode="External" /><Relationship Id="rId27" Type="http://schemas.openxmlformats.org/officeDocument/2006/relationships/hyperlink" Target="https://advance.lexis.com/api/document?collection=administrative-codes&amp;id=urn:contentItem:42WW-WHJ0-006W-843C-00000-00&amp;context=" TargetMode="External" /><Relationship Id="rId28" Type="http://schemas.openxmlformats.org/officeDocument/2006/relationships/hyperlink" Target="https://advance.lexis.com/api/document?collection=statutes-legislation&amp;id=urn:contentItem:4YF7-GNM1-NRF4-408K-00000-00&amp;context=" TargetMode="External" /><Relationship Id="rId29" Type="http://schemas.openxmlformats.org/officeDocument/2006/relationships/hyperlink" Target="http://www.reginfo.gov/public/do/PRAOMBHistory?ombControlNumber=3038-0068" TargetMode="External" /><Relationship Id="rId3" Type="http://schemas.openxmlformats.org/officeDocument/2006/relationships/fontTable" Target="fontTable.xml" /><Relationship Id="rId30" Type="http://schemas.openxmlformats.org/officeDocument/2006/relationships/hyperlink" Target="http://www.cftc.gov/LawRegulation/DoddFrankAct/registerswapdealer" TargetMode="External" /><Relationship Id="rId31" Type="http://schemas.openxmlformats.org/officeDocument/2006/relationships/hyperlink" Target="http://www.cftc.gov/LawRegulation/DoddFrankAct/registermajorswappart" TargetMode="External" /><Relationship Id="rId32" Type="http://schemas.openxmlformats.org/officeDocument/2006/relationships/hyperlink" Target="https://advance.lexis.com/api/document?collection=statutes-legislation&amp;id=urn:contentItem:4YF7-GVW1-NRF4-407J-00000-00&amp;context=" TargetMode="External" /><Relationship Id="rId33" Type="http://schemas.openxmlformats.org/officeDocument/2006/relationships/hyperlink" Target="mailto:OIRAsubmissions@omb.eop.gov" TargetMode="External" /><Relationship Id="rId34" Type="http://schemas.openxmlformats.org/officeDocument/2006/relationships/hyperlink" Target="http://reginfo.gov/" TargetMode="External" /><Relationship Id="rId35" Type="http://schemas.openxmlformats.org/officeDocument/2006/relationships/hyperlink" Target="https://advance.lexis.com/api/document?collection=statutes-legislation&amp;id=urn:contentItem:4YF7-GV71-NRF4-44KX-00000-00&amp;context=" TargetMode="External" /><Relationship Id="rId36" Type="http://schemas.openxmlformats.org/officeDocument/2006/relationships/hyperlink" Target="https://advance.lexis.com/api/document?collection=statutes-legislation&amp;id=urn:contentItem:4YF7-GK11-NRF4-40VK-00000-00&amp;context=" TargetMode="External" /><Relationship Id="rId37" Type="http://schemas.openxmlformats.org/officeDocument/2006/relationships/hyperlink" Target="https://advance.lexis.com/api/document?collection=statutes-legislation&amp;id=urn:contentItem:4YF7-GPD1-NRF4-43D1-00000-00&amp;context=" TargetMode="External" /><Relationship Id="rId38" Type="http://schemas.openxmlformats.org/officeDocument/2006/relationships/hyperlink" Target="https://advance.lexis.com/api/document?collection=statutes-legislation&amp;id=urn:contentItem:50P5-8HD1-NRF4-4001-00000-00&amp;context=" TargetMode="External" /><Relationship Id="rId39" Type="http://schemas.openxmlformats.org/officeDocument/2006/relationships/hyperlink" Target="https://advance.lexis.com/api/document?collection=statutes-legislation&amp;id=urn:contentItem:4YF7-GK81-NRF4-43N3-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MP1-NRF4-41PJ-00000-00&amp;context=" TargetMode="External" /><Relationship Id="rId41" Type="http://schemas.openxmlformats.org/officeDocument/2006/relationships/hyperlink" Target="https://advance.lexis.com/api/document?collection=statutes-legislation&amp;id=urn:contentItem:50P5-8F51-NRF4-4001-00000-00&amp;context=" TargetMode="External" /><Relationship Id="rId42" Type="http://schemas.openxmlformats.org/officeDocument/2006/relationships/hyperlink" Target="https://advance.lexis.com/api/document?collection=statutes-legislation&amp;id=urn:contentItem:50P5-8FD1-NRF4-4001-00000-00&amp;context=" TargetMode="External" /><Relationship Id="rId43" Type="http://schemas.openxmlformats.org/officeDocument/2006/relationships/hyperlink" Target="https://advance.lexis.com/api/document?collection=statutes-legislation&amp;id=urn:contentItem:4YF7-GSH1-NRF4-4391-00000-00&amp;context=" TargetMode="External" /><Relationship Id="rId44" Type="http://schemas.openxmlformats.org/officeDocument/2006/relationships/hyperlink" Target="https://advance.lexis.com/api/document?collection=statutes-legislation&amp;id=urn:contentItem:4YF7-GKK1-NRF4-417Y-00000-00&amp;context=" TargetMode="External" /><Relationship Id="rId45" Type="http://schemas.openxmlformats.org/officeDocument/2006/relationships/hyperlink" Target="https://advance.lexis.com/api/document?collection=statutes-legislation&amp;id=urn:contentItem:4YF7-GN71-NRF4-41VS-00000-00&amp;context=" TargetMode="External" /><Relationship Id="rId46" Type="http://schemas.openxmlformats.org/officeDocument/2006/relationships/hyperlink" Target="https://advance.lexis.com/api/document?collection=statutes-legislation&amp;id=urn:contentItem:4YF7-GJ51-NRF4-42HC-00000-00&amp;context=" TargetMode="External" /><Relationship Id="rId47" Type="http://schemas.openxmlformats.org/officeDocument/2006/relationships/hyperlink" Target="https://advance.lexis.com/api/document?collection=statutes-legislation&amp;id=urn:contentItem:4YF7-GR81-NRF4-416J-00000-00&amp;context=" TargetMode="External" /><Relationship Id="rId48" Type="http://schemas.openxmlformats.org/officeDocument/2006/relationships/hyperlink" Target="https://advance.lexis.com/api/document?collection=statutes-legislation&amp;id=urn:contentItem:4YF7-GTW1-NRF4-40R1-00000-00&amp;context=" TargetMode="External" /><Relationship Id="rId49" Type="http://schemas.openxmlformats.org/officeDocument/2006/relationships/hyperlink" Target="https://advance.lexis.com/api/document?collection=statutes-legislation&amp;id=urn:contentItem:4YF7-GSN1-NRF4-44W4-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RD1-NRF4-42KS-00000-00&amp;context=" TargetMode="External" /><Relationship Id="rId51" Type="http://schemas.openxmlformats.org/officeDocument/2006/relationships/hyperlink" Target="https://advance.lexis.com/api/document?collection=statutes-legislation&amp;id=urn:contentItem:4YF7-GRX1-NRF4-429T-00000-00&amp;context=" TargetMode="External" /><Relationship Id="rId52" Type="http://schemas.openxmlformats.org/officeDocument/2006/relationships/hyperlink" Target="http://comments.cftc.gov" TargetMode="External" /><Relationship Id="rId53" Type="http://schemas.openxmlformats.org/officeDocument/2006/relationships/hyperlink" Target="http://www.regulations.gov" TargetMode="External" /><Relationship Id="rId54" Type="http://schemas.openxmlformats.org/officeDocument/2006/relationships/hyperlink" Target="http://www.cftc.gov" TargetMode="External" /><Relationship Id="rId55" Type="http://schemas.openxmlformats.org/officeDocument/2006/relationships/hyperlink" Target="mailto:ffisanich@cftc.gov" TargetMode="External" /><Relationship Id="rId56" Type="http://schemas.openxmlformats.org/officeDocument/2006/relationships/hyperlink" Target="mailto:kdriscoll@cftc.gov" TargetMode="External" /><Relationship Id="rId57" Type="http://schemas.openxmlformats.org/officeDocument/2006/relationships/hyperlink" Target="mailto:gscopino@cftc.gov" TargetMode="External" /><Relationship Id="rId58" Type="http://schemas.openxmlformats.org/officeDocument/2006/relationships/numbering" Target="numbering.xml" /><Relationship Id="rId59"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06-H1R0-006W-823B-00000-00&amp;context=" TargetMode="External" /><Relationship Id="rId8" Type="http://schemas.openxmlformats.org/officeDocument/2006/relationships/hyperlink" Target="https://advance.lexis.com/api/document?collection=administrative-codes&amp;id=urn:contentItem:56JB-XV20-006W-82VT-00000-00&amp;context=" TargetMode="External" /><Relationship Id="rId9" Type="http://schemas.openxmlformats.org/officeDocument/2006/relationships/hyperlink" Target="https://advance.lexis.com/api/document?collection=statutes-legislation&amp;id=urn:contentItem:4YF7-GJB1-NRF4-44J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31646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71556602</vt:lpwstr>
  </property>
  <property fmtid="{D5CDD505-2E9C-101B-9397-08002B2CF9AE}" pid="3" name="LADocCount">
    <vt:lpwstr>1</vt:lpwstr>
  </property>
  <property fmtid="{D5CDD505-2E9C-101B-9397-08002B2CF9AE}" pid="4" name="UserPermID">
    <vt:lpwstr>urn:user:PA185916758</vt:lpwstr>
  </property>
</Properties>
</file>