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59152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190, Thursday, October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59152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National Association of Animal Breeders, Inc.;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0215]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September 24,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October 26, 2015. Write "National Association of Animal Breeders, Inc.--Consent Agreement; File No. 141 0125"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 </w:t>
      </w:r>
      <w:r>
        <w:rPr>
          <w:rFonts w:ascii="arial" w:eastAsia="arial" w:hAnsi="arial" w:cs="arial"/>
          <w:b/>
          <w:i w:val="0"/>
          <w:strike w:val="0"/>
          <w:noProof w:val="0"/>
          <w:color w:val="000000"/>
          <w:position w:val="0"/>
          <w:sz w:val="20"/>
          <w:u w:val="none"/>
          <w:vertAlign w:val="baseline"/>
        </w:rPr>
        <w:t> [*59153]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http://ftcpublic.commentworks.com/ftc/NAABconsent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"National Association of Animal Breeders, Inc.--Consent Agreement; File No. 141 0125"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October 26,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the National Association of Animal Breeders, Inc. (hereinafter "NAAB"). The Commission's complaint ("Complaint") alleges that NAAB, acting as a combination of its members and in agreement with at least some of its members, restrained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and others in violation of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NAAB restrained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adopting and maintaining provisions in its Code of Ethics that restrain its members from (1) naming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printed materials that contain certain information about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(2) disclosing or publicizing prices of bulls purchased or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Consent Agreement, NAAB is required to cease and desist from restraining its members from (1) naming members or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when making statements comparing the products and services of a member with the products and services of any other member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and (2) publicizing or disclosing price information relating to the purchase or sale of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anticipates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described in the Complaint will be resolved by accepting the proposed order, subject to final approval, contained in the Consent Agreement. The proposed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to modify their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is for settlement purposes only and does not constitute an admission by NAAB that the law has been violated as alleged in the Complaint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makes the following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NAAB is a non-profit corporation of animal breeders, with about twenty-four regular members, and about twenty-seven non-voting associate members. Many of NAAB's members are organizations in the business of collecting, processing, marketing and selling dairy and beef cattle semen for artificial insemination ("AI"). Members include small, family-owned breeding operations, cooperatives, and multinational corporations.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Anticompetitive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NAAB maintains a Code of Ethics applicable to the commercial activities of its members. NAAB's bylaws require that members comply with the Code of Ethics. NAAB maintains the following provisions in its Code of Ethics: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"Member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not be named in printed material comparing averages between members."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price of sires, purchased at private treaty, by NAAB members shall not be disclosed by the Buyer, and the Seller shall be requested not to quote the selling price. Also, prices of bulls purchased at public auction by AI organizations shall not be quoted in their printed statements, advertising, and/or publicity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NAAB also established a process for receiving complaints about and resolving alleged violations of the Code of Ethics, including by allowing its members to resolve privately disputes arising out of the Code of Ethics, and also by establishing a mechanism by which NAAB may sanction violations of the Code of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NAAB has violated Section 5 of the Federal Trade Commission Act by adopting and maintaining provisions in its Code of Ethics that restrain its members from (1) making advertisements comparing AI organizations, and (2) disclosing truthful and non-deceptive information. The Complaint alleges that the purpose, effects, tendency, or capacity of the combination, agreement, acts and practices of NAAB has been and is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unreasonably and to injure consumers by discouraging and restricting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AI organizations, and by depriving consumers and others of the benefits of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AI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has the following substantive provisions. Paragraph II </w:t>
      </w:r>
      <w:r>
        <w:rPr>
          <w:rFonts w:ascii="arial" w:eastAsia="arial" w:hAnsi="arial" w:cs="arial"/>
          <w:b/>
          <w:i w:val="0"/>
          <w:strike w:val="0"/>
          <w:noProof w:val="0"/>
          <w:color w:val="000000"/>
          <w:position w:val="0"/>
          <w:sz w:val="20"/>
          <w:u w:val="none"/>
          <w:vertAlign w:val="baseline"/>
        </w:rPr>
        <w:t> [*59154] </w:t>
      </w:r>
      <w:r>
        <w:rPr>
          <w:rFonts w:ascii="arial" w:eastAsia="arial" w:hAnsi="arial" w:cs="arial"/>
          <w:b w:val="0"/>
          <w:i w:val="0"/>
          <w:strike w:val="0"/>
          <w:noProof w:val="0"/>
          <w:color w:val="000000"/>
          <w:position w:val="0"/>
          <w:sz w:val="20"/>
          <w:u w:val="none"/>
          <w:vertAlign w:val="baseline"/>
        </w:rPr>
        <w:t xml:space="preserve"> requires NAAB to cease and desist from restraining its members from (1) naming members or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when making statements comparing the products and services of a member with the products and services of any other member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and (2) publicizing or disclosing price information relating to the purchase or sale of animals. The Proposed Order does not prohibit NAAB from adopting and enforcing reasonable restraints with respect to representations that NAAB reasonably believes would be false or deceptive within the meaning of Section 5 of the Federal Trade Commission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III of the Proposed Order requires NAAB to remove from its Web site and organization documents any statement that does not comply with the Proposed Order, and to publish on the Web site any revision to the organization documents. NAAB must publish an announcement that it has changed its Code of Ethics, and a statement describing the Consent Agreement ("the Settlement Statement"). NAAB must distribute the Settlement Statement to NAAB's board of directors, officers, employees, and members. Paragraph III also requires NAAB to provide all new members and all members who receive a membership renewal notice with a copy of the Settlement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 of the Proposed Order requires NAAB to design, maintain, and operate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NAAB will have to appoint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Counsel for the duration of the Proposed Order. For a period of five years, NAAB will have to provide in-person annual training to its board of directors, officers, and employees, and conduct a presentation at its annual convention that summarizes NAAB's obligations under the Proposed Order and provides context-appropriate guidance on compliance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NAAB must also implement policies and procedures to enable persons to ask questions about, and report violations of, the Proposed Order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confidentially and without fear of retaliation, and to discipline its board of directors, officers, employees, members, and agents for failure to comply with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V-VII of the Proposed Order impose certain standard reporting and compliance requirements on NAAB.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will expire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2015-24874 Filed 9-30-15;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October 26,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http://ftcpublic.commentworks.com/ftc/NAABconsent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"National Association of Animal Breeders, Inc.--Consent Agreement; File No. 141 0125"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http://ftcpublic.commentworks.com/ftc/NAABconsent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"National Association of Animal Breeders, Inc.--Consent Agreement; File No. 141 0125"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Armando Irizarry (202-326-2964) or Karen A. Mills (202-326-2052),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59152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ftcpublic.commentworks.com/ftc/NAAB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24-D020-006W-836G-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