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60902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195, Thursday, October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60902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Wright Medical Group, Inc. and Tornier N.V.; Analysis To Aid Public Comment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consent agreement.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[File No. 151 0018]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consent agreement in this matter settles alleged violations of federal law prohibiting unfair methods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attached Analysis to Aid Public Comment describes both the allegations in the draft complaint and the terms of the consent order--embodied in the consent agreement--that would settle these allegations.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6(f) of the Federal Trade Commission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2.34, </w:t>
      </w:r>
      <w:hyperlink r:id="rId9" w:history="1">
        <w:r>
          <w:rPr>
            <w:rFonts w:ascii="arial" w:eastAsia="arial" w:hAnsi="arial" w:cs="arial"/>
            <w:b w:val="0"/>
            <w:i/>
            <w:strike w:val="0"/>
            <w:noProof w:val="0"/>
            <w:color w:val="0077CC"/>
            <w:position w:val="0"/>
            <w:sz w:val="20"/>
            <w:u w:val="single"/>
            <w:vertAlign w:val="baseline"/>
          </w:rPr>
          <w:t>16 CFR 2.34</w:t>
        </w:r>
      </w:hyperlink>
      <w:r>
        <w:rPr>
          <w:rFonts w:ascii="arial" w:eastAsia="arial" w:hAnsi="arial" w:cs="arial"/>
          <w:b w:val="0"/>
          <w:i w:val="0"/>
          <w:strike w:val="0"/>
          <w:noProof w:val="0"/>
          <w:color w:val="000000"/>
          <w:position w:val="0"/>
          <w:sz w:val="20"/>
          <w:u w:val="none"/>
          <w:vertAlign w:val="baseline"/>
        </w:rPr>
        <w:t xml:space="preserve">, notice is hereby given that the above-captioned consent agreement containing consent order to cease and desist, having been </w:t>
      </w:r>
      <w:r>
        <w:rPr>
          <w:rFonts w:ascii="arial" w:eastAsia="arial" w:hAnsi="arial" w:cs="arial"/>
          <w:b/>
          <w:i w:val="0"/>
          <w:strike w:val="0"/>
          <w:noProof w:val="0"/>
          <w:color w:val="000000"/>
          <w:position w:val="0"/>
          <w:sz w:val="20"/>
          <w:u w:val="none"/>
          <w:vertAlign w:val="baseline"/>
        </w:rPr>
        <w:t> [*60903] </w:t>
      </w:r>
      <w:r>
        <w:rPr>
          <w:rFonts w:ascii="arial" w:eastAsia="arial" w:hAnsi="arial" w:cs="arial"/>
          <w:b w:val="0"/>
          <w:i w:val="0"/>
          <w:strike w:val="0"/>
          <w:noProof w:val="0"/>
          <w:color w:val="000000"/>
          <w:position w:val="0"/>
          <w:sz w:val="20"/>
          <w:u w:val="none"/>
          <w:vertAlign w:val="baseline"/>
        </w:rPr>
        <w:t xml:space="preserve"> filed with and accepted, subject to final approval, by the Commission, has been placed on the public record for a period of thirty (30) days. The following Analysis to Aid Public Comment describes the terms of the consent agreement, and the allegations in the complaint. An electronic copy of the full text of the consent agreement package can be obtained from the FTC Home Page (for September 30, 2015), on the World Wide Web, at </w:t>
      </w:r>
      <w:hyperlink r:id="rId10" w:history="1">
        <w:r>
          <w:rPr>
            <w:rFonts w:ascii="arial" w:eastAsia="arial" w:hAnsi="arial" w:cs="arial"/>
            <w:b w:val="0"/>
            <w:i/>
            <w:strike w:val="0"/>
            <w:noProof w:val="0"/>
            <w:color w:val="0077CC"/>
            <w:position w:val="0"/>
            <w:sz w:val="20"/>
            <w:u w:val="single"/>
            <w:vertAlign w:val="baseline"/>
          </w:rPr>
          <w:t>http://www.ftc.gov/os/actions.shtm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October 30, 2015. Write "Wright Medical Group, Inc. and Tornier N.V.--Consent Agreement; File No. 151 0018" on your comment. Your comment--including your name and your state--will be placed on the public record of this proceeding, including, to the extent practicable, on the public Commission Web site, at </w:t>
      </w:r>
      <w:hyperlink r:id="rId11"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 . . is privileged or confidential," as discussed in Section 6(f) of the FTC Act, </w:t>
      </w:r>
      <w:hyperlink r:id="rId8"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2"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want the Commission to give your comment confidential treatment, you must file it in paper form, with a request for confidential treatment, and you have to follow the procedure explained in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 n1 Your comment will be kept confidential only if the FTC General Counsel, in his or her sole discretion,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3"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w:t>
      </w:r>
      <w:hyperlink r:id="rId14" w:history="1">
        <w:r>
          <w:rPr>
            <w:rFonts w:ascii="arial" w:eastAsia="arial" w:hAnsi="arial" w:cs="arial"/>
            <w:b w:val="0"/>
            <w:i/>
            <w:strike w:val="0"/>
            <w:noProof w:val="0"/>
            <w:color w:val="0077CC"/>
            <w:position w:val="0"/>
            <w:sz w:val="20"/>
            <w:u w:val="single"/>
            <w:vertAlign w:val="baseline"/>
          </w:rPr>
          <w:t>https://ftcpublic.commentworks.com/ftc/wrighttornierconsent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this Notice appears at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"Wright Medical Group, Inc. and Tornier N.V.--Consent Agreement; File No. 151 0018"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Visit the Commission Web site at </w:t>
      </w:r>
      <w:hyperlink r:id="rId16" w:history="1">
        <w:r>
          <w:rPr>
            <w:rFonts w:ascii="arial" w:eastAsia="arial" w:hAnsi="arial" w:cs="arial"/>
            <w:b w:val="0"/>
            <w:i/>
            <w:strike w:val="0"/>
            <w:noProof w:val="0"/>
            <w:color w:val="0077CC"/>
            <w:position w:val="0"/>
            <w:sz w:val="20"/>
            <w:u w:val="single"/>
            <w:vertAlign w:val="baseline"/>
          </w:rPr>
          <w:t>http://www.ftc.gov</w:t>
        </w:r>
      </w:hyperlink>
      <w:r>
        <w:rPr>
          <w:rFonts w:ascii="arial" w:eastAsia="arial" w:hAnsi="arial" w:cs="arial"/>
          <w:b w:val="0"/>
          <w:i w:val="0"/>
          <w:strike w:val="0"/>
          <w:noProof w:val="0"/>
          <w:color w:val="000000"/>
          <w:position w:val="0"/>
          <w:sz w:val="20"/>
          <w:u w:val="none"/>
          <w:vertAlign w:val="baseline"/>
        </w:rPr>
        <w:t xml:space="preserve"> to read this Notice and the news release describing it. The FTC Act and other laws that the Commission administers permit the collection of public comments to consider and use in this proceeding as appropriate. The Commission will consider all timely and responsive public comments that it receives on or before October 30, 2015. You can find more information, including routine uses permitted by the Privacy Act, in the Commission's privacy policy, at </w:t>
      </w:r>
      <w:hyperlink r:id="rId17"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Analysis of Agreement Containing Consent Order To Aid Public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Trade Commission ("Commission") has accepted, subject to final approval, an Agreement Containing Consent Order ("Consent Agreement") from Wright Medical Group, Inc. ("Wright") and Tornier N.V. ("Tornier") designed to remedy the anticompetitive effects resulting from the proposed merger of Wright and Tornier. Under the terms of the proposed Decision and Order ("Order") contained in the Consent Agreement, the parties are required to divest to Integra Lifesciences Corporation ("Integra") all of Tornier's rights and assets related to the following reconstructive joint markets: (1) Total ankle replacements; (2) total silastic big toe joint replacements; and (3) total silastic toe joint replacements for the second through fifth "lesser" 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Consent Agreement has been placed on the public record for thirty days for receipt of comments by interested persons. Comments received during this period will become part of the public record. After thirty days, the Commission will again review the Consent Agreement and the comments received, and decide whether it should withdraw from the Consent Agreement, modify it, or make it final.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an Agreement and Plan of Merger dated October 27, 2014, Wright and Tornier propose to merge in an all-stock transaction valued at approximately $ 3.3 billion (the "Proposed Merger"). The Commission's Complaint alleges that the Proposed Merger, if consummated, would violate Section 7 of the Clayton Act, as amended, </w:t>
      </w:r>
      <w:hyperlink r:id="rId18"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as amended, </w:t>
      </w:r>
      <w:hyperlink r:id="rId20" w:history="1">
        <w:r>
          <w:rPr>
            <w:rFonts w:ascii="arial" w:eastAsia="arial" w:hAnsi="arial" w:cs="arial"/>
            <w:b w:val="0"/>
            <w:i/>
            <w:strike w:val="0"/>
            <w:noProof w:val="0"/>
            <w:color w:val="0077CC"/>
            <w:position w:val="0"/>
            <w:sz w:val="20"/>
            <w:u w:val="single"/>
            <w:vertAlign w:val="baseline"/>
          </w:rPr>
          <w:t>15 U.S.C. 45</w:t>
        </w:r>
      </w:hyperlink>
      <w:r>
        <w:rPr>
          <w:rFonts w:ascii="arial" w:eastAsia="arial" w:hAnsi="arial" w:cs="arial"/>
          <w:b w:val="0"/>
          <w:i w:val="0"/>
          <w:strike w:val="0"/>
          <w:noProof w:val="0"/>
          <w:color w:val="000000"/>
          <w:position w:val="0"/>
          <w:sz w:val="20"/>
          <w:u w:val="none"/>
          <w:vertAlign w:val="baseline"/>
        </w:rPr>
        <w:t xml:space="preserve">, by substantially lessening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U.S. markets for total ankle replacements and total silastic toe joint replacements. The proposed Consent Agreement will remedy the alleged violations by preserving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in these markets as a result of the Proposed Merger.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Headquartered in Memphis, Tennessee, Wright is a global orthopedic company that divides its business into three categories: foot and ankle hardware; upper extremity reconstructive devices; and biologics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Tornier is a global medical device company based in Amsterdam, the Netherlands, with U.S. operations headquartered in Bloomington, Minnesota. Tornier's U.S. products include those for the upper extremity joints; lower extremity joints; sports medicine; and biologics.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Relevant Products and Structure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Total Ankle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ankle replacements are used to treat end-stage ankle arthritis, which develops when cartilage on the bones of the ankle joint wears away and causes bone-on-bone grinding down of the joint </w:t>
      </w:r>
      <w:r>
        <w:rPr>
          <w:rFonts w:ascii="arial" w:eastAsia="arial" w:hAnsi="arial" w:cs="arial"/>
          <w:b/>
          <w:i w:val="0"/>
          <w:strike w:val="0"/>
          <w:noProof w:val="0"/>
          <w:color w:val="000000"/>
          <w:position w:val="0"/>
          <w:sz w:val="20"/>
          <w:u w:val="none"/>
          <w:vertAlign w:val="baseline"/>
        </w:rPr>
        <w:t> [*60904] </w:t>
      </w:r>
      <w:r>
        <w:rPr>
          <w:rFonts w:ascii="arial" w:eastAsia="arial" w:hAnsi="arial" w:cs="arial"/>
          <w:b w:val="0"/>
          <w:i w:val="0"/>
          <w:strike w:val="0"/>
          <w:noProof w:val="0"/>
          <w:color w:val="000000"/>
          <w:position w:val="0"/>
          <w:sz w:val="20"/>
          <w:u w:val="none"/>
          <w:vertAlign w:val="baseline"/>
        </w:rPr>
        <w:t xml:space="preserve"> surface. Patients with end-stage ankle arthritis experience pain and swelling at the ankle along with difficulty walking. Total ankle replacements reduce the pain while maintaining the motion at the ankle joint. They replace damaged bone and cartilage with a metal tibial tray, a metal talar dome, and a polyethylene bearing. In a fixed bearing total ankle replacement, the polyethylene bearing is locked to the tibial component, while in a mobile bearing system it moves independently. Physicians and their patients would not switch to an alternative product or therapy in response to a small but significant increase in the price of total ankle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Wright, Tornier, and Stryker Corporation ("Stryker") are the only significant suppliers in the U.S. market for total ankle replacements, accounting for 44%, 19%, and 31% of 2014 sales, respectively. Wright and Tornier are each other's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These companies both offer fixed bearing technologies and the only options for revision surgeries,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surgeries to redo a prior total ankle replacement procedure. The other leading supplier, Stryker, supplies the only mobile bearing system in the United States, making it a more distant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Wright and Tornier. The only other U.S. supplier of total ankle replacements, Zimmer Holdings, Inc. ("Zimmer") offers a technology that typically is used only in specialized cases. Zimmer maintains a fringe position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Total Silastic Toe Joint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big toe joint replacements treat severe cases of </w:t>
      </w:r>
      <w:r>
        <w:rPr>
          <w:rFonts w:ascii="arial" w:eastAsia="arial" w:hAnsi="arial" w:cs="arial"/>
          <w:b w:val="0"/>
          <w:i/>
          <w:strike w:val="0"/>
          <w:noProof w:val="0"/>
          <w:color w:val="000000"/>
          <w:position w:val="0"/>
          <w:sz w:val="20"/>
          <w:u w:val="none"/>
          <w:vertAlign w:val="baseline"/>
        </w:rPr>
        <w:t>hallux rigidus,</w:t>
      </w:r>
      <w:r>
        <w:rPr>
          <w:rFonts w:ascii="arial" w:eastAsia="arial" w:hAnsi="arial" w:cs="arial"/>
          <w:b w:val="0"/>
          <w:i w:val="0"/>
          <w:strike w:val="0"/>
          <w:noProof w:val="0"/>
          <w:color w:val="000000"/>
          <w:position w:val="0"/>
          <w:sz w:val="20"/>
          <w:u w:val="none"/>
          <w:vertAlign w:val="baseline"/>
        </w:rPr>
        <w:t xml:space="preserve"> an arthritic condition in the first metatarsophalangeal ("MTP") joint of the big toe. Pain and inflammation at the first MTP joint restricts movement of the big toe and leads to difficulty walking. Total big toe joint replacements relieve pain and preserve motion in the big toe.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types of total big toe joint replacements: Metal and silastic. Total silastic big toe joint replacements are a distinct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Surgeons that favor total silastic big toe joint replacements over metal implants do so for the silastic implants' flexibility and longevity. The silastic implants are also significantly less expensive than total metal big toe joint replacements. Physicians and patients do not view total silastic and total metal big toe joint replacements as reasonably interchangeable. A small but significant increase in the price of total silastic big toe joint replacements would not cause physicians or patients to switch to other products or therapies.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market for total silastic big toe joint replacements is highly concentrated. Wright and Tornier are the only significant suppliers of the product, accounting for approximately 60% and 38% of the market, respectively. The next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Wright and Tornier--Sgarlato Med LLC--accounts for a nominal share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more rare than in the big toes, severe arthritis also occurs in the MTP joints of the lesser toes. Physicians and patients who use total silastic lesser toe joint replacements would not switch to any other product or procedure in response to a small but significant increase in the price of the total silastic toe joint implants. Wright, Tornier, and OsteoMed supply total silastic lesser toe joint replacements in the United States, and Wright and Tornier are each other's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The Proposed Merger would result in a combined market share of approximately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relevant geographic market for total ankle replacements and total silastic toe joint replacements is the United States. These products are medical devices regulated by the U.S. Food and Drug Administration ("FDA"). Medical devices sold outside of the United States, but not approved for sale in the United States, do not provide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alternatives for U.S.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in the relevant markets would not be timely, likely, or sufficient in magnitude, character, and scope to deter or counteract the anticompetitive effects of the Proposed Merger. To enter or effectively expand in any of the relevant markets successfully, a supplier would need to design and manufacture an effective product, obtain FDA approval, and develop clinical history supporting the long-term efficacy of its product. The new entrant or expanding firm would also need to develop and foster product loyalty and establish a nationwide sales network capable of marketing the product and providing on-site service at hospitals nationwide. Establishing a track record for quality, service, and consistency is difficult, expensive, and typically spans several years.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Effects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Merger would likely result in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consumers in the markets for total ankle replacements and total silastic toe joint replacements. As particularly close substitutes in each relevant market, Wright and Tornier respond directly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each other with improved products, better service, and lower prices. By eliminating this direct and substantial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Proposed Merger likely would allow the combined firm to exercise market power unilaterally, resulting in less innovation and higher prices for consumers.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Consent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Consent Agreement eliminates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the Proposed Merger by requiring the parties to divest to Integra all of the rights and assets needed for it to become an independent, viable, and effective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U.S. markets for total ankle replacements and total silastic toe joint replacements. The divestitures will maintain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currently exists in each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 is well positioned to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otherwise would be lost through the Proposed Merger. Headquartered in Plainsboro, New Jersey, Integra is a global medical device company that has experience manufacturing, marketing, and distributing orthopedic devices in the United States, and a track record for quality, service, and consistency. Integra's lower extremity product portfolio is also highly complementary to Tornier's total ankle replacements and total silastic toe joint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requires Tornier to divest all U.S. assets and rights related to the relevant products, including intellectual property, manufacturing technology, and existing inventory. In order to ensure continuity of supply, the Order requires that the parties supply Integra with total ankle replacements for up to three years and total silastic toe joint replacements for up to one year while Integra transitions to independent manufacturing and works to obtain FDA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divestitures are successful, the Order requires the parties to enter into a transitional services agreement with Integra to assist the company in establishing its manufacturing capabilities and securing all necessary FDA approvals. Further, the Order requires that the parties transfer all confidential business information to Integra, as well as provide access to employees who possess or are able to identify such information. Integra also will have the right to interview and offer employment to employees associated with the relevant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must accomplish these divestitures and relinquish their rights to Integra no later than ten days after the </w:t>
      </w:r>
      <w:r>
        <w:rPr>
          <w:rFonts w:ascii="arial" w:eastAsia="arial" w:hAnsi="arial" w:cs="arial"/>
          <w:b/>
          <w:i w:val="0"/>
          <w:strike w:val="0"/>
          <w:noProof w:val="0"/>
          <w:color w:val="000000"/>
          <w:position w:val="0"/>
          <w:sz w:val="20"/>
          <w:u w:val="none"/>
          <w:vertAlign w:val="baseline"/>
        </w:rPr>
        <w:t> [*60905] </w:t>
      </w:r>
      <w:r>
        <w:rPr>
          <w:rFonts w:ascii="arial" w:eastAsia="arial" w:hAnsi="arial" w:cs="arial"/>
          <w:b w:val="0"/>
          <w:i w:val="0"/>
          <w:strike w:val="0"/>
          <w:noProof w:val="0"/>
          <w:color w:val="000000"/>
          <w:position w:val="0"/>
          <w:sz w:val="20"/>
          <w:u w:val="none"/>
          <w:vertAlign w:val="baseline"/>
        </w:rPr>
        <w:t xml:space="preserve"> Proposed Merger is consummated. If the Commission determines that Integra is not an acceptable acquirer, or that the manner of the divestitures is not acceptable, the proposed Order requires the parties to unwind the sale of rights to Integra and then divest the products to a Commission-approved acquirer within six months of the date the Order becomes final. The proposed Order further allows the Commission to appoint a trustee in the event the parties fail to divest the products 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also requires the parties to appoint Quantic Regulatory Services, LLC as interim monitor to ensure the parties comply with the obligations pursuant to the Consent Agreement and to keep the Commission informed about the status of the transfer of the assets and rights to Integra.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analysis is to facilitate public comment on the Consent Agreement, and it is not intended to constitute an official interpretation of the proposed Order or to modify its terms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direction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Donald S. Clark,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2015-25604 Filed 10-7-15;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October 30,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at </w:t>
      </w:r>
      <w:hyperlink r:id="rId14" w:history="1">
        <w:r>
          <w:rPr>
            <w:rFonts w:ascii="arial" w:eastAsia="arial" w:hAnsi="arial" w:cs="arial"/>
            <w:b w:val="0"/>
            <w:i/>
            <w:strike w:val="0"/>
            <w:noProof w:val="0"/>
            <w:color w:val="0077CC"/>
            <w:position w:val="0"/>
            <w:sz w:val="20"/>
            <w:u w:val="single"/>
            <w:vertAlign w:val="baseline"/>
          </w:rPr>
          <w:t>https://ftcpublic.commentworks.com/ftc/wrighttornierconsent</w:t>
        </w:r>
      </w:hyperlink>
      <w:r>
        <w:rPr>
          <w:rFonts w:ascii="arial" w:eastAsia="arial" w:hAnsi="arial" w:cs="arial"/>
          <w:b w:val="0"/>
          <w:i w:val="0"/>
          <w:strike w:val="0"/>
          <w:noProof w:val="0"/>
          <w:color w:val="000000"/>
          <w:position w:val="0"/>
          <w:sz w:val="20"/>
          <w:u w:val="none"/>
          <w:vertAlign w:val="baseline"/>
        </w:rPr>
        <w:t xml:space="preserve">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"Wright Medical Group, Inc. and Tornier N.V.--Consent Agreement; File No. 151 0018" on your comment and file your comment online at </w:t>
      </w:r>
      <w:hyperlink r:id="rId14" w:history="1">
        <w:r>
          <w:rPr>
            <w:rFonts w:ascii="arial" w:eastAsia="arial" w:hAnsi="arial" w:cs="arial"/>
            <w:b w:val="0"/>
            <w:i/>
            <w:strike w:val="0"/>
            <w:noProof w:val="0"/>
            <w:color w:val="0077CC"/>
            <w:position w:val="0"/>
            <w:sz w:val="20"/>
            <w:u w:val="single"/>
            <w:vertAlign w:val="baseline"/>
          </w:rPr>
          <w:t>https://ftcpublic.commentworks.com/ftc/wrighttornierconsent</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write "Wright Medical Group, Inc. and Tornier N.V.--Consent Agreement; File No. 151 0018" on your comment and on the envelope, and mail your comment to the following address: Federal Trade Commission, Office of the Secretary, 600 Pennsylvania Avenue NW., Suite CC-5610 (Annex D), Washington, DC 20580, or deliver your comment to the following address: Federal Trade Commission, Office of the Secretary, Constitution Center, 400 7th Street SW., 5th Floor, Suite 5610 (Annex D),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Aylin M. Skroejer (202-326-2459),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600 Pennsylvania Avenue NW., Washington, DC 20580.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60902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c.gov/os/actions.shtm" TargetMode="External" /><Relationship Id="rId11" Type="http://schemas.openxmlformats.org/officeDocument/2006/relationships/hyperlink" Target="http://www.ftc.gov/os/publiccomments.shtm" TargetMode="External" /><Relationship Id="rId12" Type="http://schemas.openxmlformats.org/officeDocument/2006/relationships/hyperlink" Target="https://advance.lexis.com/api/document?collection=administrative-codes&amp;id=urn:contentItem:5MH6-6J50-008G-Y1DH-00000-00&amp;context=" TargetMode="External" /><Relationship Id="rId13" Type="http://schemas.openxmlformats.org/officeDocument/2006/relationships/hyperlink" Target="https://advance.lexis.com/api/document?collection=administrative-codes&amp;id=urn:contentItem:5MH6-6J50-008G-Y0Y0-00000-00&amp;context=" TargetMode="External" /><Relationship Id="rId14" Type="http://schemas.openxmlformats.org/officeDocument/2006/relationships/hyperlink" Target="https://ftcpublic.commentworks.com/ftc/wrighttornierconsent" TargetMode="External" /><Relationship Id="rId15" Type="http://schemas.openxmlformats.org/officeDocument/2006/relationships/hyperlink" Target="http://www.regulations.gov/#!home" TargetMode="External" /><Relationship Id="rId16" Type="http://schemas.openxmlformats.org/officeDocument/2006/relationships/hyperlink" Target="http://www.ftc.gov" TargetMode="External" /><Relationship Id="rId17" Type="http://schemas.openxmlformats.org/officeDocument/2006/relationships/hyperlink" Target="http://www.ftc.gov/ftc/privacy.htm" TargetMode="External" /><Relationship Id="rId18" Type="http://schemas.openxmlformats.org/officeDocument/2006/relationships/hyperlink" Target="https://advance.lexis.com/api/document?collection=statutes-legislation&amp;id=urn:contentItem:4YF7-GNT1-NRF4-426N-00000-00&amp;context=" TargetMode="External" /><Relationship Id="rId19" Type="http://schemas.openxmlformats.org/officeDocument/2006/relationships/hyperlink" Target="https://advance.lexis.com/api/document?collection=statutes-legislation&amp;id=urn:contentItem:4YF7-GR01-NRF4-43M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M1-NRF4-44DS-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3M-4X00-006W-8445-00000-00&amp;context=" TargetMode="External" /><Relationship Id="rId8" Type="http://schemas.openxmlformats.org/officeDocument/2006/relationships/hyperlink" Target="https://advance.lexis.com/api/document?collection=statutes-legislation&amp;id=urn:contentItem:4YF7-GJ21-NRF4-41JV-00000-00&amp;context=" TargetMode="External" /><Relationship Id="rId9" Type="http://schemas.openxmlformats.org/officeDocument/2006/relationships/hyperlink" Target="https://advance.lexis.com/api/document?collection=administrative-codes&amp;id=urn:contentItem:5HYR-92N0-008G-Y0W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6616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71344355</vt:lpwstr>
  </property>
  <property fmtid="{D5CDD505-2E9C-101B-9397-08002B2CF9AE}" pid="3" name="LADocCount">
    <vt:lpwstr>1</vt:lpwstr>
  </property>
  <property fmtid="{D5CDD505-2E9C-101B-9397-08002B2CF9AE}" pid="4" name="UserPermID">
    <vt:lpwstr>urn:user:PA185916758</vt:lpwstr>
  </property>
</Properties>
</file>