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61194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196, Friday, October 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61194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October 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Personnel Development To Improve Services and Results for Children With Disabilities--Preparation of Special Education, Early Intervention, and Related Services Leadership Personnel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Information: Personnel Development to Improve Services and Results for Children with Disabilities--Preparation of Special Education, Early Intervention, and Related Services Leadership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84.325D.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Federal Relay Service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Grants and Contracts Services Team, U.S. Department of Education, 400 Maryland Avenue SW., Room 5037, Potomac Center Plaza, Washington, DC 20202-2550.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6,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K. Yudin,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2015-25876 Filed 10-8-15;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October 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December 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February 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this program are to (1) help address State-identified needs for personnel preparation in special education, early intervention, related services, and regular education to work with children, including infants and toddlers, with disabilities; and (2) ensure that those personnel have the necessary skills and knowledge, derived from practices that have been determined through scientifically based research and experience, to be successful in serving those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34 CFR 75.105(b)(2)(iv), this priority is from allowable activities specified in the statute (see sections 662 and 681 of the Individuals with Disabilities Education Act (IDEA)).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priority is an absolute priority. Under 34 CFR 75.105(c)(3),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Preparation of Special Education, Early Intervention, and Related Services Leadership Personnel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purpose of the Preparation of Special Education, Early Intervention, and Related Services Leadership Personnel priority is to </w:t>
      </w:r>
      <w:r>
        <w:rPr>
          <w:rFonts w:ascii="arial" w:eastAsia="arial" w:hAnsi="arial" w:cs="arial"/>
          <w:b/>
          <w:i w:val="0"/>
          <w:strike w:val="0"/>
          <w:noProof w:val="0"/>
          <w:color w:val="000000"/>
          <w:position w:val="0"/>
          <w:sz w:val="20"/>
          <w:u w:val="none"/>
          <w:vertAlign w:val="baseline"/>
        </w:rPr>
        <w:t> [*61195] </w:t>
      </w:r>
      <w:r>
        <w:rPr>
          <w:rFonts w:ascii="arial" w:eastAsia="arial" w:hAnsi="arial" w:cs="arial"/>
          <w:b w:val="0"/>
          <w:i w:val="0"/>
          <w:strike w:val="0"/>
          <w:noProof w:val="0"/>
          <w:color w:val="000000"/>
          <w:position w:val="0"/>
          <w:sz w:val="20"/>
          <w:u w:val="none"/>
          <w:vertAlign w:val="baseline"/>
        </w:rPr>
        <w:t xml:space="preserve"> support pre-existing programs that prepare special education, early intervention, and related services personnel at the doctoral level who are well-qualified for, and can act effectively in, leadership positions in universities, State educational agencies (SEAs), lead agencies (LAs), local educational agencies (LEAs), early intervention services programs (EIS programs), or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well-documented need for leadership personnel who are prepared at the doctoral and postdoctoral levels to fill faculty and leadership positions in special education, early intervention, and related services (Montrosse &amp; Young, 2012; Robb, Smith, &amp; Montrosse, 2012; Smith, Montrosse, Robb, Tyler, &amp; Young, 2011; Smith, Robb, West, &amp; Tyler, 2010; Woods &amp; Snyder, 2009). In the report </w:t>
      </w:r>
      <w:r>
        <w:rPr>
          <w:rFonts w:ascii="arial" w:eastAsia="arial" w:hAnsi="arial" w:cs="arial"/>
          <w:b w:val="0"/>
          <w:i/>
          <w:strike w:val="0"/>
          <w:noProof w:val="0"/>
          <w:color w:val="000000"/>
          <w:position w:val="0"/>
          <w:sz w:val="20"/>
          <w:u w:val="none"/>
          <w:vertAlign w:val="baseline"/>
        </w:rPr>
        <w:t>Assessing Trends in Leadership: Special Education's Capacity to Produce a Highly Qualified Workforce,</w:t>
      </w:r>
      <w:r>
        <w:rPr>
          <w:rFonts w:ascii="arial" w:eastAsia="arial" w:hAnsi="arial" w:cs="arial"/>
          <w:b w:val="0"/>
          <w:i w:val="0"/>
          <w:strike w:val="0"/>
          <w:noProof w:val="0"/>
          <w:color w:val="000000"/>
          <w:position w:val="0"/>
          <w:sz w:val="20"/>
          <w:u w:val="none"/>
          <w:vertAlign w:val="baseline"/>
        </w:rPr>
        <w:t xml:space="preserve">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field has faced a consistent shortage of faculty, the predicted supply/demand imbalance is of historic proportions. To meet projected demand, the nation's doctoral programs will need to produce over six times the current number of SE [special education] doctoral graduates. . . . Unless abated, this shortage will impair the field's capacity to generate new knowledge and produce a sufficient number of SE teacher educators who can in turn produce enough well-prepared teachers to meet the needs of students with disabilities and their families. (p.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report that some special education doctoral programs anticipate one-half to two-thirds of their faculty will retire in the next six years. These leaders teach evidence-based practices to future special education, early intervention, and related services professionals who will work in a variety of educational settings and provide services directly to children and youth with disabilities. These leaders also conduct research to increase the knowledge of effective interventions and services for these children (Robb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2010; West &amp; Hardman,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and local agencies also need leadership personnel who are prepared at the doctoral level to fill special education and early intervention administrator positions. These administrators supervise and evaluate the implementation of evidence-based instructional programs to make sure that State or local agencies are meeting the needs of children with disabilities. Administrators also ensure that schools and programs meet Federal, State, and local requirements for special education, early intervention, and related services (Lashley &amp; Boscardin,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support can increase the supply of personnel who have the necessary knowledge and skills to assume leadership positions in special education, early intervention, and related services in universities, SEAs, LAs, LEAs, EIS programs, or schools. Critical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special education, early intervention, and related services personnel vary depending on the type of personnel and the requirements of the preparation program but can include, for example, skills needed for postsecondary instruction, administration, policy development, professional practice, leadership, or research. However, all leadership personnel need to have current knowledge of effective interventions and services that improve outcomes for children with disabilities, including high-need children with disabilities.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a definition of "high-need children with disabilities," please see footnote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Priority: The purpose of the Preparation of Special Education, Early Intervention, and Related Services Leadership Personnel priority is to support pre-existing doctoral degree programs and postdoctoral learning experiences that prepare special education, early intervention, and related services personnel who are well-qualified for, and can act effectively in, leadership positions in universities, SEAs, LAs, LEAs, EIS programs, or schools. This priority supports two types of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A programs are designed to prepare special education, early intervention, or related services personnel to serve as higher education faculty. Type A programs culminate in a doctoral degree or provide postdoctoral learning opportunities.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Preparation programs that lead to clinical doctoral degrees in related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Doctor of Audiology (AuD) degree or Doctor of Physical Therapy (DPT) degree) are not included in this priority. These types of preparation programs are eligible to apply for funding under the Personnel Preparation in Special Education, Early Intervention, and Related Services priority (CFDA 84.325K) that the Office of Special Education Programs (OSEP) intends to fund in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B programs are designed to prepare special education or early intervention administrators to work in SEAs, LAs, LEAs, EIS programs or providers, or schools. Type B programs prepare personnel for positions such as SEA special education administrators, LEA or regional special education directors, school-based special education directors, including those in youth correctional facilities, preschool coordinators, and early intervention coordinators. Type B programs culminate in a doctoral degree or provide postdoctoral learning opportunities.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preparation of school principals is not included in this priority.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must identify the specific program type, A or B, for which they are applying for funding as part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title on the application cover sheet (SF form 424, item 15). Applicants may not submit the same proposal for more than one program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for funding under the Preparation of Special Education, Early Intervention, and Related Services Leadership Personnel absolute priority, all program applicants must meet the application requirements contained in the priority. All projects funded under this absolute priority also must meet the programmatic and administrative requirements specified in the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of this priority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project addresses national, State, regional, or district needs for leadership personnel to administer programs or provide, or prepare others to provide, interventions and services that improve outcomes of children with disabilities, ages birth through 21, including high-need children with disabilities. n2 To address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purposes of this priority, "high-need children with disabilities" refers to children (ages birth through 21, depending on the State) who are eligible for services under IDEA, and who may be further disadvantaged and at risk of educational failure because they: (1) Are living in poverty, (2) are far below grade level, (3) are at risk of not graduating with a regular high school diploma on time, (4) are homeless, (5) are in foster care, (6) have been incarcerated, (7) are English learners, (8) are pregnant or parenting teenagers, (9) are new immigrants, (10) are migrant, or (11) are not on track to being college- or career-ready by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Present appropriate and applicable national, State, regional, or district data demonstrating the need for the leadership personnel the applicant proposes to prepare;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Present data on the effectiveness of the doctoral program to date in areas such as: The effectiveness of program graduates as educators of teachers, service providers, or administrators, including any results from evaluating the impact of those teachers, service providers, or administrators on the outcomes of children with disabilities; the average amount of time it takes for </w:t>
      </w:r>
      <w:r>
        <w:rPr>
          <w:rFonts w:ascii="arial" w:eastAsia="arial" w:hAnsi="arial" w:cs="arial"/>
          <w:b/>
          <w:i w:val="0"/>
          <w:strike w:val="0"/>
          <w:noProof w:val="0"/>
          <w:color w:val="000000"/>
          <w:position w:val="0"/>
          <w:sz w:val="20"/>
          <w:u w:val="none"/>
          <w:vertAlign w:val="baseline"/>
        </w:rPr>
        <w:t> [*61196] </w:t>
      </w:r>
      <w:r>
        <w:rPr>
          <w:rFonts w:ascii="arial" w:eastAsia="arial" w:hAnsi="arial" w:cs="arial"/>
          <w:b w:val="0"/>
          <w:i w:val="0"/>
          <w:strike w:val="0"/>
          <w:noProof w:val="0"/>
          <w:color w:val="000000"/>
          <w:position w:val="0"/>
          <w:sz w:val="20"/>
          <w:u w:val="none"/>
          <w:vertAlign w:val="baseline"/>
        </w:rPr>
        <w:t xml:space="preserve"> program graduates to complete the program; the percentage of program graduates finding employment directly related to their preparation; and the professional accomplishments of program graduates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public service, honors, or publications) that demonstrate their leadership in special education, early intervention, or related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Data on the effectiveness of a doctoral program should be no older than five years prior to the start date of the project proposed in the application. When reporting percentages, the denominator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total number of students or program graduates) must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Scholar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be acquired in the program relate to knowledge and skills needed by the leadership personnel the applicant proposes to prepare, including knowledge of technologies designed to provide instruction. To address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Identify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by leadership personnel in postsecondary instruction, administration, policy development, professional practice, leadership, or research in order to administer programs or provide, or prepare others to provide, interventions and services that improve outcomes of children with disabilities, ages birth through 21, including high-need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Demonstrate that the interventions and services of the project's specialized preparation area are supported by evidence of promise n3 that they will result in improved outcomes for children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Under 34 CFR 77.1, "evidence of promise"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Provide the conceptual framework of the leadership preparation program, including any empirical support, that will promote the acquisition of the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by leadership personnel, including knowledge of technologies designed to provide instruction, and, where applicable, how these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relate to the project's specialized preparation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the Project Services,"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project will recruit and support high-quality scholars. The narrative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Describe the selection criteria the applicant will use to identify high-quality applicants for admission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Describe the recruitment strategies the applicant will use to attract high-quality applicants and any specific recruitment strategies targeting high-quality applicants from traditionally underrepresented groups, including individuals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Describe the approach the applicant will use to help all scholars, including individuals with disabilities, complete the program;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project is designed to promote the acquisition of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by leadership personnel to administer programs or provide, or prepare others to provide, interventions and services that improve outcomes, including college- and career-readiness of children with disabilities. To address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Describe how the components of the project, such as coursework, internship or practicum experiences, research requirements, and other opportunities provided to scholars to analyze data, critique research and methodologies, and practice newly acquired knowledge and skills, will enable the scholars to acquire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by leadership personnel for postsecondary instruction, administration, policy development, professional practice, leadership, or research in special education, early intervention, or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Describe how the components of the project are integrated in order to support the acquisition and enhancement of the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by leadership personnel in special education, early intervention, or related services, including knowledge of technologies designed to provide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Describe how the components of the project prepare scholars to administer programs or provide, or prepare others to provide, interventions and services that improve outcomes, including college- and career-readiness, of children with disabilities in a variety of settings, including in high-need LEAs; n4 high-poverty schools; n5 low-performing schools, including persistently lowest-achieving schools; n6 priority schools (in the case of States that have received the Department of Education's (Department's) approval of a request for ESEA flexibility); n7 and early childhood programs located </w:t>
      </w:r>
      <w:r>
        <w:rPr>
          <w:rFonts w:ascii="arial" w:eastAsia="arial" w:hAnsi="arial" w:cs="arial"/>
          <w:b/>
          <w:i w:val="0"/>
          <w:strike w:val="0"/>
          <w:noProof w:val="0"/>
          <w:color w:val="000000"/>
          <w:position w:val="0"/>
          <w:sz w:val="20"/>
          <w:u w:val="none"/>
          <w:vertAlign w:val="baseline"/>
        </w:rPr>
        <w:t> [*61197] </w:t>
      </w:r>
      <w:r>
        <w:rPr>
          <w:rFonts w:ascii="arial" w:eastAsia="arial" w:hAnsi="arial" w:cs="arial"/>
          <w:b w:val="0"/>
          <w:i w:val="0"/>
          <w:strike w:val="0"/>
          <w:noProof w:val="0"/>
          <w:color w:val="000000"/>
          <w:position w:val="0"/>
          <w:sz w:val="20"/>
          <w:u w:val="none"/>
          <w:vertAlign w:val="baseline"/>
        </w:rPr>
        <w:t xml:space="preserve"> within the geographical boundaries of a high-need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For purposes of this priority, the term "high-need LEA" means an LEA (a) that serves not fewer than 10,000 children from families with incomes below the poverty line; or (b) for which not less than 20 percent of the children served by the LEA are from families with incomes below the poverty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For purposes of this priority, the term "high-poverty school" means a school in which at least 50 percent of students are eligible for free or reduced-price lunches under the Richard B. Russell National School Lunch Act or in which at least 50 percent of students are from low-income families as determined using one of the criteria specified under section 1113(a)(5) of the Elementary and Secondary Education Act of 1965, as amended (ESEA). For middle and high schools, eligibility may be calculated on the basis of comparable data from feeder schools. Eligibility as a high-poverty school under this definition is determined on the basis of the most currently available data (</w:t>
      </w:r>
      <w:r>
        <w:rPr>
          <w:rFonts w:ascii="arial" w:eastAsia="arial" w:hAnsi="arial" w:cs="arial"/>
          <w:b w:val="0"/>
          <w:i/>
          <w:strike w:val="0"/>
          <w:noProof w:val="0"/>
          <w:color w:val="000000"/>
          <w:position w:val="0"/>
          <w:sz w:val="20"/>
          <w:u w:val="none"/>
          <w:vertAlign w:val="baseline"/>
        </w:rPr>
        <w:t>www2.ed.gov/legislation/FedRegister/other/2010-4/121510b.html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For purposes of this priority, the term "persistently lowest-achieving schools" means, as determined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 Any Title I school in improvement, corrective action, or restructuring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among the lowest-achieving five percent of Title I schools in improvement, corrective action, or restructuring or the lowest-achieving five Title I schools in improvement, corrective action, or restructuring in the State, whichever number of schools is greater;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 a high school that has had a graduation rate as defined in 34 CFR 200.19(b) that is less than 60 percent over a number of years;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secondary school that is eligible for, but does not receive, Title I funds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among the lowest-achieving five percent of secondary schools or the lowest-achieving five secondary schools in the State that are eligible for, but do not receive, Title I funds, whichever number of schools is greater;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 a high school that has had a graduation rate as defined in 34 CFR 200.19(b) that is less than 60 percent over a number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 identify the persistently lowest-achieving schools, a State must take into account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academic achievement of the "all students" group in a school in terms of proficiency on the State's assessments under section 1111(b)(3) of the ESEA in reading/language arts and mathematics combined;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school's lack of progress on those assessments over a number of years in the "all students"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this priority, the Department considers schools that are identified as Tier I or Tier II schools under the School Improvement Grants Program (see </w:t>
      </w:r>
      <w:r>
        <w:rPr>
          <w:rFonts w:ascii="arial" w:eastAsia="arial" w:hAnsi="arial" w:cs="arial"/>
          <w:b w:val="0"/>
          <w:i/>
          <w:strike w:val="0"/>
          <w:noProof w:val="0"/>
          <w:color w:val="000000"/>
          <w:position w:val="0"/>
          <w:sz w:val="20"/>
          <w:u w:val="none"/>
          <w:vertAlign w:val="baseline"/>
        </w:rPr>
        <w:t>75 FR 66363)</w:t>
      </w:r>
      <w:r>
        <w:rPr>
          <w:rFonts w:ascii="arial" w:eastAsia="arial" w:hAnsi="arial" w:cs="arial"/>
          <w:b w:val="0"/>
          <w:i w:val="0"/>
          <w:strike w:val="0"/>
          <w:noProof w:val="0"/>
          <w:color w:val="000000"/>
          <w:position w:val="0"/>
          <w:sz w:val="20"/>
          <w:u w:val="none"/>
          <w:vertAlign w:val="baseline"/>
        </w:rPr>
        <w:t xml:space="preserve"> as part of a State's approved application to be persistently lowest-achieving schools. A list of these Tier I and Tier II schools can be found on the Department's Web site at </w:t>
      </w:r>
      <w:r>
        <w:rPr>
          <w:rFonts w:ascii="arial" w:eastAsia="arial" w:hAnsi="arial" w:cs="arial"/>
          <w:b w:val="0"/>
          <w:i/>
          <w:strike w:val="0"/>
          <w:noProof w:val="0"/>
          <w:color w:val="000000"/>
          <w:position w:val="0"/>
          <w:sz w:val="20"/>
          <w:u w:val="none"/>
          <w:vertAlign w:val="baseline"/>
        </w:rPr>
        <w:t>www2.ed.gov/programs/sif/index.html.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For purposes of this priority, the term "priority school" means a school that has been identified by the State as a priority school pursuant to the State's approved request for ESEA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Demonstrate, through a letter of support from the partnering agency, school, or program that there is an agreement with one or more high-need LEAs; publicly funded preschool programs, including Head Start programs, located within the geographic boundaries of a high-need LEA; or programs serving children eligible for services under Part C or Part B, section 619 of IDEA located within the geographic boundaries of a high-need LEA, that it will provide scholars with a high-quality internship or practicum experience in a school in a high-need LEA, publicly funded preschool, or early intervention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Describe how the project will use resources, as appropriate, available through technical assistance centers, which may include centers funded by the Department;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Describe the approach that faculty members will use to mentor scholars with the goal of helping them acquire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by leadership personnel and promote career goals in special education, early intervention, or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Demonstrate, in the narrative section of the application under "Quality of the Project Evaluation,"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applicant will evaluate the effectiveness of the proposed leadership project. The applicant must describe the outcomes to be measured for both the project and the scholars, particularly the acquisition of scholar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their impact on the services provided by future teachers, service providers, or administrators; the evaluation methodologies to be employed, including proposed instruments, data collection methods, and possible analyses; and the proposed standards or targets for determining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applicant will collect, analyze, and use data on current scholars and scholars who graduate from the program to improve the proposed program on an ongoing basis;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grantee will report the evaluation results to OSEP in its annual and final performance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under "Required Project Assurances," or appendices as directed, that the following program requirements are met.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the application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Course syllabi for all coursework in the major and any required coursework for a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Course syllabi for all research methods, evaluation methods, or data analysis courses required by the degree program and elective research methods, evaluation methods, or data analysis courses that have been completed by more than one student enrolled in the program in the last five years;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For new coursework, proposed syllabi;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for Type B programs should provide a syllabus or syllabi for current or proposed courses that provide instruction on, or permit practice with, research and the methodological, statistical, and practical considerations in the use of data on early learning outcomes, student achievement, or growth in student achievement to evaluate the effectiveness of early intervention providers, related services providers, teachers, or principals.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Ensure that the proposed number of scholars to be recruited into the program can graduate from the program by the end of the grant's project period. The described scholar recruitment strategies, including recruitment of individuals with disabilities, the program components and their sequence, and proposed budget must be consistent with this project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Ensure scholars will not be selected based on race or national origin/ethnicity. Per the Supreme Court's decision in </w:t>
      </w:r>
      <w:hyperlink r:id="rId10" w:history="1">
        <w:r>
          <w:rPr>
            <w:rFonts w:ascii="arial" w:eastAsia="arial" w:hAnsi="arial" w:cs="arial"/>
            <w:b w:val="0"/>
            <w:i/>
            <w:strike w:val="0"/>
            <w:noProof w:val="0"/>
            <w:color w:val="0077CC"/>
            <w:position w:val="0"/>
            <w:sz w:val="20"/>
            <w:u w:val="single"/>
            <w:vertAlign w:val="baseline"/>
          </w:rPr>
          <w:t>Adarand Constructors, Inc. v. Pena, 515 U.S. 200 (1995),</w:t>
        </w:r>
      </w:hyperlink>
      <w:r>
        <w:rPr>
          <w:rFonts w:ascii="arial" w:eastAsia="arial" w:hAnsi="arial" w:cs="arial"/>
          <w:b w:val="0"/>
          <w:i w:val="0"/>
          <w:strike w:val="0"/>
          <w:noProof w:val="0"/>
          <w:color w:val="000000"/>
          <w:position w:val="0"/>
          <w:sz w:val="20"/>
          <w:u w:val="none"/>
          <w:vertAlign w:val="baseline"/>
        </w:rPr>
        <w:t xml:space="preserve"> the Department does not allow the selection of individuals on the basis of race or national origin/ethnicity. For this reason, grantees must ensure that any discussion of the recruitment of scholars based on race or national origin/ethnicity distinguishes between increasing the pool of applicants and actually selecting scholars;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Ensure that the project will meet the requirements in 34 CFR 304.23, particularly those related to informing all scholarship recipients of their service obligation commitment. Failure by a grantee to properly meet these requirements is a violation of the grant award that may result in sanctions, including the grantee being liable for returning any misused funds to the Department. Specifically, the grantee must prepare, and ensure that each scholarship recipient signs, the following two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Pre-Scholarship Agreement prior to the scholar receiving a scholarship for an eligible program (Office of Management and Budget (OMB) Control Number 1820-0686);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Exit Certification immediately upon the scholar leaving, completing, or otherwise exiting that program (OMB Control Number 1820-0686);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Ensure that prior approval from the OSEP project officer will be obtained before admitting additional scholars beyond the number of scholars proposed in the application and before transferring a scholar to another preparation program funded by OSEP;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Ensure that the project will meet the statutory requirements in section 662(e) through 662(h)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Ensure that at least 65 percent of the total requested budget over the five years will be used for scholar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Ensure that the institution of higher education (IHE) will not require scholars enrolled in the program to work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graduate assistants) as a condition of receiving support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tuition, stipends) from the proposed project, unless the work is specifically related to the acquisition of scholars'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the requirements for completion of their personnel preparation program. This prohibition on work as a condition of receiving support does not apply to the service obligation requirements in section 662(h)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Ensure that the budget includes attendance of the project director at a three-day project directors' meeting in Washington, DC, during each year of the project. The budget may also provide for the attendance of scholars at the same three-day project directors' meetings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Ensure that if the project maintains a Web site, relevant information and documents are in a format that meets government or industry-recognized standards for accessibility;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Ensure that annual data will be submitted on each scholar who receives grant support (OMB Control Number 1820-0686). The primary purposes of the data collection are to track the service obligation fulfillment of scholars who receive funds from OSEP grants and to collect data for program performance measure reporting under the Government Performance and Results Act of 1993 (GPRA). Applicants are encouraged to visit the Personnel Development Program Data Collection System (DCS) Web site at </w:t>
      </w:r>
      <w:hyperlink r:id="rId11" w:history="1">
        <w:r>
          <w:rPr>
            <w:rFonts w:ascii="arial" w:eastAsia="arial" w:hAnsi="arial" w:cs="arial"/>
            <w:b w:val="0"/>
            <w:i/>
            <w:strike w:val="0"/>
            <w:noProof w:val="0"/>
            <w:color w:val="0077CC"/>
            <w:position w:val="0"/>
            <w:sz w:val="20"/>
            <w:u w:val="single"/>
            <w:vertAlign w:val="baseline"/>
          </w:rPr>
          <w:t>https://pdp.ed.gov/osep</w:t>
        </w:r>
      </w:hyperlink>
      <w:r>
        <w:rPr>
          <w:rFonts w:ascii="arial" w:eastAsia="arial" w:hAnsi="arial" w:cs="arial"/>
          <w:b w:val="0"/>
          <w:i w:val="0"/>
          <w:strike w:val="0"/>
          <w:noProof w:val="0"/>
          <w:color w:val="000000"/>
          <w:position w:val="0"/>
          <w:sz w:val="20"/>
          <w:u w:val="none"/>
          <w:vertAlign w:val="baseline"/>
        </w:rPr>
        <w:t xml:space="preserve"> for further information about this data collection requirement. Typically, data collection begins in January of each year, and grantees are notified by email about the data collection period for their grant, although grantees may submit data as needed, year round. This data collection must be submitted electronically by the grantee and does not supplant the annual grant performance report required of each grantee for continuation funding (see 34 CFR 75.590). Data collection includes the submission of a signed, completed Pre-Scholarship Agreement and Exit </w:t>
      </w:r>
      <w:r>
        <w:rPr>
          <w:rFonts w:ascii="arial" w:eastAsia="arial" w:hAnsi="arial" w:cs="arial"/>
          <w:b/>
          <w:i w:val="0"/>
          <w:strike w:val="0"/>
          <w:noProof w:val="0"/>
          <w:color w:val="000000"/>
          <w:position w:val="0"/>
          <w:sz w:val="20"/>
          <w:u w:val="none"/>
          <w:vertAlign w:val="baseline"/>
        </w:rPr>
        <w:t> [*61198] </w:t>
      </w:r>
      <w:r>
        <w:rPr>
          <w:rFonts w:ascii="arial" w:eastAsia="arial" w:hAnsi="arial" w:cs="arial"/>
          <w:b w:val="0"/>
          <w:i w:val="0"/>
          <w:strike w:val="0"/>
          <w:noProof w:val="0"/>
          <w:color w:val="000000"/>
          <w:position w:val="0"/>
          <w:sz w:val="20"/>
          <w:u w:val="none"/>
          <w:vertAlign w:val="baseline"/>
        </w:rPr>
        <w:t xml:space="preserve"> Certification for each scholar funded under an OSEP grant (see paragraph (4) of this section, subparagraphs (i) and (ii)).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Lashley, C., &amp; Boscardin, M. L. (2003). </w:t>
      </w:r>
      <w:r>
        <w:rPr>
          <w:rFonts w:ascii="arial" w:eastAsia="arial" w:hAnsi="arial" w:cs="arial"/>
          <w:b w:val="0"/>
          <w:i/>
          <w:strike w:val="0"/>
          <w:noProof w:val="0"/>
          <w:color w:val="000000"/>
          <w:position w:val="0"/>
          <w:sz w:val="20"/>
          <w:u w:val="none"/>
          <w:vertAlign w:val="baseline"/>
        </w:rPr>
        <w:t>Special education administration at the crossroads: Availability, licensure, and preparation of special education administrators.</w:t>
      </w:r>
      <w:r>
        <w:rPr>
          <w:rFonts w:ascii="arial" w:eastAsia="arial" w:hAnsi="arial" w:cs="arial"/>
          <w:b w:val="0"/>
          <w:i w:val="0"/>
          <w:strike w:val="0"/>
          <w:noProof w:val="0"/>
          <w:color w:val="000000"/>
          <w:position w:val="0"/>
          <w:sz w:val="20"/>
          <w:u w:val="none"/>
          <w:vertAlign w:val="baseline"/>
        </w:rPr>
        <w:t xml:space="preserve"> Gainesville, FL: Center on Personnel Studies in Special Education, University of Florida. Retrieved from </w:t>
      </w:r>
      <w:hyperlink r:id="rId12" w:history="1">
        <w:r>
          <w:rPr>
            <w:rFonts w:ascii="arial" w:eastAsia="arial" w:hAnsi="arial" w:cs="arial"/>
            <w:b w:val="0"/>
            <w:i/>
            <w:strike w:val="0"/>
            <w:noProof w:val="0"/>
            <w:color w:val="0077CC"/>
            <w:position w:val="0"/>
            <w:sz w:val="20"/>
            <w:u w:val="single"/>
            <w:vertAlign w:val="baseline"/>
          </w:rPr>
          <w:t>www.coe.ufl.edu/copsse/docs/IB-8/1/IB-8.pdf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Montrosse, B.E., &amp; Young, C.J. (2012). Market demand for special education faculty. </w:t>
      </w:r>
      <w:r>
        <w:rPr>
          <w:rFonts w:ascii="arial" w:eastAsia="arial" w:hAnsi="arial" w:cs="arial"/>
          <w:b w:val="0"/>
          <w:i/>
          <w:strike w:val="0"/>
          <w:noProof w:val="0"/>
          <w:color w:val="000000"/>
          <w:position w:val="0"/>
          <w:sz w:val="20"/>
          <w:u w:val="none"/>
          <w:vertAlign w:val="baseline"/>
        </w:rPr>
        <w:t>Teacher Education and Special Education, 35,</w:t>
      </w:r>
      <w:r>
        <w:rPr>
          <w:rFonts w:ascii="arial" w:eastAsia="arial" w:hAnsi="arial" w:cs="arial"/>
          <w:b w:val="0"/>
          <w:i w:val="0"/>
          <w:strike w:val="0"/>
          <w:noProof w:val="0"/>
          <w:color w:val="000000"/>
          <w:position w:val="0"/>
          <w:sz w:val="20"/>
          <w:u w:val="none"/>
          <w:vertAlign w:val="baseline"/>
        </w:rPr>
        <w:t xml:space="preserve"> 140-153.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Robb, S.M., Smith, D.D., &amp; Montrosse, B.E. (2012). A context of the demand for special education faculty: A study of special education teacher preparation programs. </w:t>
      </w:r>
      <w:r>
        <w:rPr>
          <w:rFonts w:ascii="arial" w:eastAsia="arial" w:hAnsi="arial" w:cs="arial"/>
          <w:b w:val="0"/>
          <w:i/>
          <w:strike w:val="0"/>
          <w:noProof w:val="0"/>
          <w:color w:val="000000"/>
          <w:position w:val="0"/>
          <w:sz w:val="20"/>
          <w:u w:val="none"/>
          <w:vertAlign w:val="baseline"/>
        </w:rPr>
        <w:t>Teacher Education and Special Education, 35,</w:t>
      </w:r>
      <w:r>
        <w:rPr>
          <w:rFonts w:ascii="arial" w:eastAsia="arial" w:hAnsi="arial" w:cs="arial"/>
          <w:b w:val="0"/>
          <w:i w:val="0"/>
          <w:strike w:val="0"/>
          <w:noProof w:val="0"/>
          <w:color w:val="000000"/>
          <w:position w:val="0"/>
          <w:sz w:val="20"/>
          <w:u w:val="none"/>
          <w:vertAlign w:val="baseline"/>
        </w:rPr>
        <w:t xml:space="preserve"> 128-139.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D.D., Montrosse, B.E., Robb, S.M., Tyler, N.C., &amp; Young, C. (2011). </w:t>
      </w:r>
      <w:r>
        <w:rPr>
          <w:rFonts w:ascii="arial" w:eastAsia="arial" w:hAnsi="arial" w:cs="arial"/>
          <w:b w:val="0"/>
          <w:i/>
          <w:strike w:val="0"/>
          <w:noProof w:val="0"/>
          <w:color w:val="000000"/>
          <w:position w:val="0"/>
          <w:sz w:val="20"/>
          <w:u w:val="none"/>
          <w:vertAlign w:val="baseline"/>
        </w:rPr>
        <w:t>Assessing trends in leadership: Special education's capacity to produce a highly qualified workforce.</w:t>
      </w:r>
      <w:r>
        <w:rPr>
          <w:rFonts w:ascii="arial" w:eastAsia="arial" w:hAnsi="arial" w:cs="arial"/>
          <w:b w:val="0"/>
          <w:i w:val="0"/>
          <w:strike w:val="0"/>
          <w:noProof w:val="0"/>
          <w:color w:val="000000"/>
          <w:position w:val="0"/>
          <w:sz w:val="20"/>
          <w:u w:val="none"/>
          <w:vertAlign w:val="baseline"/>
        </w:rPr>
        <w:t xml:space="preserve"> Claremont, CA: IRIS@CGU, Claremont Graduate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D.D., Robb, S.M., West, J., &amp; Tyler, N.C. (2010). The changing education landscape: How special education leadership preparation can make a difference for teachers and their students with disabilities. </w:t>
      </w:r>
      <w:r>
        <w:rPr>
          <w:rFonts w:ascii="arial" w:eastAsia="arial" w:hAnsi="arial" w:cs="arial"/>
          <w:b w:val="0"/>
          <w:i/>
          <w:strike w:val="0"/>
          <w:noProof w:val="0"/>
          <w:color w:val="000000"/>
          <w:position w:val="0"/>
          <w:sz w:val="20"/>
          <w:u w:val="none"/>
          <w:vertAlign w:val="baseline"/>
        </w:rPr>
        <w:t>Teacher Education and Special Education, 33</w:t>
      </w:r>
      <w:r>
        <w:rPr>
          <w:rFonts w:ascii="arial" w:eastAsia="arial" w:hAnsi="arial" w:cs="arial"/>
          <w:b w:val="0"/>
          <w:i w:val="0"/>
          <w:strike w:val="0"/>
          <w:noProof w:val="0"/>
          <w:color w:val="000000"/>
          <w:position w:val="0"/>
          <w:sz w:val="20"/>
          <w:u w:val="none"/>
          <w:vertAlign w:val="baseline"/>
        </w:rPr>
        <w:t xml:space="preserve"> (1), 25-43.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 J.E., &amp; Hardman, H.L. (2012). Averting current and future special education faculty shortages: Policy implications and recommendations. </w:t>
      </w:r>
      <w:r>
        <w:rPr>
          <w:rFonts w:ascii="arial" w:eastAsia="arial" w:hAnsi="arial" w:cs="arial"/>
          <w:b w:val="0"/>
          <w:i/>
          <w:strike w:val="0"/>
          <w:noProof w:val="0"/>
          <w:color w:val="000000"/>
          <w:position w:val="0"/>
          <w:sz w:val="20"/>
          <w:u w:val="none"/>
          <w:vertAlign w:val="baseline"/>
        </w:rPr>
        <w:t>Teacher Education and Special Education, 35,</w:t>
      </w:r>
      <w:r>
        <w:rPr>
          <w:rFonts w:ascii="arial" w:eastAsia="arial" w:hAnsi="arial" w:cs="arial"/>
          <w:b w:val="0"/>
          <w:i w:val="0"/>
          <w:strike w:val="0"/>
          <w:noProof w:val="0"/>
          <w:color w:val="000000"/>
          <w:position w:val="0"/>
          <w:sz w:val="20"/>
          <w:u w:val="none"/>
          <w:vertAlign w:val="baseline"/>
        </w:rPr>
        <w:t xml:space="preserve"> 154-160.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Woods, J., &amp; Snyder, P. (2009). Interdisciplinary doctoral leadership training in early intervention. </w:t>
      </w:r>
      <w:r>
        <w:rPr>
          <w:rFonts w:ascii="arial" w:eastAsia="arial" w:hAnsi="arial" w:cs="arial"/>
          <w:b w:val="0"/>
          <w:i/>
          <w:strike w:val="0"/>
          <w:noProof w:val="0"/>
          <w:color w:val="000000"/>
          <w:position w:val="0"/>
          <w:sz w:val="20"/>
          <w:u w:val="none"/>
          <w:vertAlign w:val="baseline"/>
        </w:rPr>
        <w:t>Infants &amp; Young Children, 22</w:t>
      </w:r>
      <w:r>
        <w:rPr>
          <w:rFonts w:ascii="arial" w:eastAsia="arial" w:hAnsi="arial" w:cs="arial"/>
          <w:b w:val="0"/>
          <w:i w:val="0"/>
          <w:strike w:val="0"/>
          <w:noProof w:val="0"/>
          <w:color w:val="000000"/>
          <w:position w:val="0"/>
          <w:sz w:val="20"/>
          <w:u w:val="none"/>
          <w:vertAlign w:val="baseline"/>
        </w:rPr>
        <w:t xml:space="preserve"> (1), 32-34.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Section 681(d) of IDEA, however, makes the public comment requirements of the APA inapplicable to the priority in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20 U.S.C. 1462</w:t>
        </w:r>
      </w:hyperlink>
      <w:r>
        <w:rPr>
          <w:rFonts w:ascii="arial" w:eastAsia="arial" w:hAnsi="arial" w:cs="arial"/>
          <w:b w:val="0"/>
          <w:i w:val="0"/>
          <w:strike w:val="0"/>
          <w:noProof w:val="0"/>
          <w:color w:val="000000"/>
          <w:position w:val="0"/>
          <w:sz w:val="20"/>
          <w:u w:val="none"/>
          <w:vertAlign w:val="baseline"/>
        </w:rPr>
        <w:t xml:space="preserve"> and 1481.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304.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$ 83,700,000 for the Personnel Development to Improve Services and Results for Children with Disabilities program for FY 2016, of which we intend to use an estimated $ 3,500,000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$ 225,000-$ 250,000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$ 237,500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$ 250,000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IHEs, private nonprofit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Eligible Subgrantees: (a) Under 75.708(b) and (c) a grantee may award subgrants--to directly carry out project activities described in its application--to the following types of entities: IHEs and private nonprofit organizations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Recipients of funding under this program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under this program must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4"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5"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6"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You must limit Part III to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 one of the following fonts: Times New Roman, Courier, Courier New, or Arial. An application submitted in any other font (including Times Roman or Arial Narrow) will not be accepted. </w:t>
      </w:r>
      <w:r>
        <w:rPr>
          <w:rFonts w:ascii="arial" w:eastAsia="arial" w:hAnsi="arial" w:cs="arial"/>
          <w:b/>
          <w:i w:val="0"/>
          <w:strike w:val="0"/>
          <w:noProof w:val="0"/>
          <w:color w:val="000000"/>
          <w:position w:val="0"/>
          <w:sz w:val="20"/>
          <w:u w:val="none"/>
          <w:vertAlign w:val="baseline"/>
        </w:rPr>
        <w:t> [*61199]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October 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December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February 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7"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8"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19"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Preparation of Special Education, Early Intervention, and Related Services Leadership Personnel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84.325D, must be submitted electronically using the Governmentwide Grants.gov Apply site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Preparation of Special Education, Early Intervention, and Related Services Leadership Personnel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84.325, not 84.325D).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Grants.gov are date and time stamped. Your application must be fully uploaded and </w:t>
      </w:r>
      <w:r>
        <w:rPr>
          <w:rFonts w:ascii="arial" w:eastAsia="arial" w:hAnsi="arial" w:cs="arial"/>
          <w:b/>
          <w:i w:val="0"/>
          <w:strike w:val="0"/>
          <w:noProof w:val="0"/>
          <w:color w:val="000000"/>
          <w:position w:val="0"/>
          <w:sz w:val="20"/>
          <w:u w:val="none"/>
          <w:vertAlign w:val="baseline"/>
        </w:rPr>
        <w:t> [*61200] </w:t>
      </w:r>
      <w:r>
        <w:rPr>
          <w:rFonts w:ascii="arial" w:eastAsia="arial" w:hAnsi="arial" w:cs="arial"/>
          <w:b w:val="0"/>
          <w:i w:val="0"/>
          <w:strike w:val="0"/>
          <w:noProof w:val="0"/>
          <w:color w:val="000000"/>
          <w:position w:val="0"/>
          <w:sz w:val="20"/>
          <w:u w:val="none"/>
          <w:vertAlign w:val="baseline"/>
        </w:rPr>
        <w:t xml:space="preserve">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23"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w:t>
      </w:r>
      <w:r>
        <w:rPr>
          <w:rFonts w:ascii="arial" w:eastAsia="arial" w:hAnsi="arial" w:cs="arial"/>
          <w:b/>
          <w:i w:val="0"/>
          <w:strike w:val="0"/>
          <w:noProof w:val="0"/>
          <w:color w:val="000000"/>
          <w:position w:val="0"/>
          <w:sz w:val="20"/>
          <w:u w:val="none"/>
          <w:vertAlign w:val="baseline"/>
        </w:rPr>
        <w:t> [*61201] </w:t>
      </w:r>
      <w:r>
        <w:rPr>
          <w:rFonts w:ascii="arial" w:eastAsia="arial" w:hAnsi="arial" w:cs="arial"/>
          <w:b w:val="0"/>
          <w:i w:val="0"/>
          <w:strike w:val="0"/>
          <w:noProof w:val="0"/>
          <w:color w:val="000000"/>
          <w:position w:val="0"/>
          <w:sz w:val="20"/>
          <w:u w:val="none"/>
          <w:vertAlign w:val="baseline"/>
        </w:rPr>
        <w:t xml:space="preserve">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Celia Rosenquist, U.S. Department of Education, 400 Maryland Avenue SW., Room 4070, Potomac Center Plaza, Washington, DC 20202-2600. FAX: (202) 245-7617.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84.325D),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84.325D),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34 CFR 75.210 and are listed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 However, if the Department decides to select an equal number of applications in each group for funding, this may result in different cut-off points for fundable applications in each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 </w:t>
      </w:r>
      <w:r>
        <w:rPr>
          <w:rFonts w:ascii="arial" w:eastAsia="arial" w:hAnsi="arial" w:cs="arial"/>
          <w:b/>
          <w:i w:val="0"/>
          <w:strike w:val="0"/>
          <w:noProof w:val="0"/>
          <w:color w:val="000000"/>
          <w:position w:val="0"/>
          <w:sz w:val="20"/>
          <w:u w:val="none"/>
          <w:vertAlign w:val="baseline"/>
        </w:rPr>
        <w:t> [*61202]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4"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GPRA, the Department has established a set of performance measures, including long-term measures, that are designed to yield information on various aspects of the effectiveness and quality of the Personnel Development to Improve Services and Results for Children with Disabilities program. These measures include: (1) The percentage of Special Education Personnel Development projects that incorporate evidence-based practices into their curricula; (2) the percentage of scholars completing Special Education Personnel Development funded programs who are knowledgeable and skilled in evidence-based practices for infants, toddlers, children, and youth with disabilities; (3) the percentage of Special Education Personnel Development funded scholars who exit preparation programs prior to completion due to poor academic performance; (4) the percentage of Special Education Personnel Development funded degree/certification recipients who are working in the area(s) for which they were prepared upon program completion; (5) the percentage of Special Education Personnel Development funded degree/certification recipients who are working in the area(s) for which they were prepared upon program completion and who are fully qualified under IDEA; (6) the percentage of Special Education Personnel Development funded degree/certification recipients who maintain employment in the area(s) for which they were prepared for three or more years and who are fully qualified under IDEA; and (7) the Federal cost per fully qualified degree/certification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 will gather information on the following outcome measures: (1) The number and percentage of degree/certification recipients who are employed in high-need schools; (2) the number and percentage of degree/certification recipients who are employed in a school for at least two years; and (3) the number and percentage of degree/certification recipients who are rated as effective by their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may be asked to participate in assessing and providing information on these aspects of program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in its approved application and budget;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Celia Rosenquist, U.S. Department of Education, 400 Maryland Avenue SW., Room 4070, Potomac Center Plaza, Washington, DC 20202-2600. Telephone: (202) 245-7373.</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61194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3RJ6-FD80-003B-R0N9-00000-00&amp;context=" TargetMode="External" /><Relationship Id="rId11" Type="http://schemas.openxmlformats.org/officeDocument/2006/relationships/hyperlink" Target="https://pdp.ed.gov/osep" TargetMode="External" /><Relationship Id="rId12" Type="http://schemas.openxmlformats.org/officeDocument/2006/relationships/hyperlink" Target="http://www.coe.ufl.edu/copsse/docs/IB-8/1/IB-8.pdf" TargetMode="External" /><Relationship Id="rId13" Type="http://schemas.openxmlformats.org/officeDocument/2006/relationships/hyperlink" Target="https://advance.lexis.com/api/document?collection=statutes-legislation&amp;id=urn:contentItem:4YF7-GPG1-NRF4-445M-00000-00&amp;context=" TargetMode="External" /><Relationship Id="rId14" Type="http://schemas.openxmlformats.org/officeDocument/2006/relationships/hyperlink" Target="http://www.ed.gov/fund/grant/apply/grantapps/index.html" TargetMode="External" /><Relationship Id="rId15" Type="http://schemas.openxmlformats.org/officeDocument/2006/relationships/hyperlink" Target="http://www.EDPubs.gov" TargetMode="External" /><Relationship Id="rId16" Type="http://schemas.openxmlformats.org/officeDocument/2006/relationships/hyperlink" Target="mailto:edpubs@inet.ed.gov" TargetMode="External" /><Relationship Id="rId17" Type="http://schemas.openxmlformats.org/officeDocument/2006/relationships/hyperlink" Target="http://fedgov.dnb.com/webform" TargetMode="External" /><Relationship Id="rId18" Type="http://schemas.openxmlformats.org/officeDocument/2006/relationships/hyperlink" Target="http://www.SAM.gov" TargetMode="External" /><Relationship Id="rId19" Type="http://schemas.openxmlformats.org/officeDocument/2006/relationships/hyperlink" Target="http://www2.ed.gov/fund/grant/apply/sam-faqs.html" TargetMode="External" /><Relationship Id="rId2" Type="http://schemas.openxmlformats.org/officeDocument/2006/relationships/webSettings" Target="webSettings.xml" /><Relationship Id="rId20" Type="http://schemas.openxmlformats.org/officeDocument/2006/relationships/hyperlink" Target="http://www.grants.gov/web/grants/register.html" TargetMode="External" /><Relationship Id="rId21" Type="http://schemas.openxmlformats.org/officeDocument/2006/relationships/hyperlink" Target="http://www.Grants.gov" TargetMode="External" /><Relationship Id="rId22" Type="http://schemas.openxmlformats.org/officeDocument/2006/relationships/hyperlink" Target="http://www.G5.gov" TargetMode="External" /><Relationship Id="rId23" Type="http://schemas.openxmlformats.org/officeDocument/2006/relationships/hyperlink" Target="http://www.grants.gov/web/grants/applicants/apply-for-grants.html" TargetMode="External" /><Relationship Id="rId24" Type="http://schemas.openxmlformats.org/officeDocument/2006/relationships/hyperlink" Target="http://www.ed.gov/fund/grant/apply/appforms/appforms.html" TargetMode="Externa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3T-X5S0-006W-848G-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61194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71560586</vt:lpwstr>
  </property>
  <property fmtid="{D5CDD505-2E9C-101B-9397-08002B2CF9AE}" pid="3" name="LADocCount">
    <vt:lpwstr>1</vt:lpwstr>
  </property>
  <property fmtid="{D5CDD505-2E9C-101B-9397-08002B2CF9AE}" pid="4" name="UserPermID">
    <vt:lpwstr>urn:user:PA185916758</vt:lpwstr>
  </property>
</Properties>
</file>