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64309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205, Friday, October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64309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National Institute of Food and Agriculture (NIFA)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and Noncompetitive Non-Formula Federal Assistance Programs--Specific Administrative Provisions for the Food Insecurity Nutrition Incentive Grants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National Institute of Food and Agriculture (NIFA)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0524-AA65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3430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Food and Agriculture (NIFA) is publishing a final rule for the Food Insecurity Nutrition Incentive Grants Program. This final rule adds a subpart entitled "Food Insecurity Nutrition Incentive Grants Program" to the part entitled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Non-formula Federal Assistance Programs--General Award Administrative Provisions".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and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Insecurity Nutrition Incentive Program (FINI) is authorized under section 4405 of the Food, Conservation, and Energy Act of 2008 (</w:t>
      </w:r>
      <w:hyperlink r:id="rId8" w:history="1">
        <w:r>
          <w:rPr>
            <w:rFonts w:ascii="arial" w:eastAsia="arial" w:hAnsi="arial" w:cs="arial"/>
            <w:b w:val="0"/>
            <w:i/>
            <w:strike w:val="0"/>
            <w:noProof w:val="0"/>
            <w:color w:val="0077CC"/>
            <w:position w:val="0"/>
            <w:sz w:val="20"/>
            <w:u w:val="single"/>
            <w:vertAlign w:val="baseline"/>
          </w:rPr>
          <w:t>7 U.S.C. 7517</w:t>
        </w:r>
      </w:hyperlink>
      <w:r>
        <w:rPr>
          <w:rFonts w:ascii="arial" w:eastAsia="arial" w:hAnsi="arial" w:cs="arial"/>
          <w:b w:val="0"/>
          <w:i w:val="0"/>
          <w:strike w:val="0"/>
          <w:noProof w:val="0"/>
          <w:color w:val="000000"/>
          <w:position w:val="0"/>
          <w:sz w:val="20"/>
          <w:u w:val="none"/>
          <w:vertAlign w:val="baseline"/>
        </w:rPr>
        <w:t>), as added by section 4208 of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 of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primary function of NIFA is the fair, effective, and efficient </w:t>
      </w:r>
      <w:r>
        <w:rPr>
          <w:rFonts w:ascii="arial" w:eastAsia="arial" w:hAnsi="arial" w:cs="arial"/>
          <w:b/>
          <w:i w:val="0"/>
          <w:strike w:val="0"/>
          <w:noProof w:val="0"/>
          <w:color w:val="000000"/>
          <w:position w:val="0"/>
          <w:sz w:val="20"/>
          <w:u w:val="none"/>
          <w:vertAlign w:val="baseline"/>
        </w:rPr>
        <w:t> [*64310] </w:t>
      </w:r>
      <w:r>
        <w:rPr>
          <w:rFonts w:ascii="arial" w:eastAsia="arial" w:hAnsi="arial" w:cs="arial"/>
          <w:b w:val="0"/>
          <w:i w:val="0"/>
          <w:strike w:val="0"/>
          <w:noProof w:val="0"/>
          <w:color w:val="000000"/>
          <w:position w:val="0"/>
          <w:sz w:val="20"/>
          <w:u w:val="none"/>
          <w:vertAlign w:val="baseline"/>
        </w:rPr>
        <w:t xml:space="preserve"> administration of Federal assistance programs implementing agricultural research, education, and extension programs. The awards made under the above authority are subject to the NIFA assistance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3430,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Non-formula Federal Assistance Programs--General Award Administrative Provisions. NIFA's development and publication of this part serve to enhance its accountability and to standardize procedures across the Federal assistance programs it administers while providing transparency to the public. NIFA published 7 CFR part 3430 with subparts A through E as a final rule on September 4, 2009 </w:t>
      </w:r>
      <w:hyperlink r:id="rId9" w:history="1">
        <w:r>
          <w:rPr>
            <w:rFonts w:ascii="arial" w:eastAsia="arial" w:hAnsi="arial" w:cs="arial"/>
            <w:b w:val="0"/>
            <w:i/>
            <w:strike w:val="0"/>
            <w:noProof w:val="0"/>
            <w:color w:val="0077CC"/>
            <w:position w:val="0"/>
            <w:sz w:val="20"/>
            <w:u w:val="single"/>
            <w:vertAlign w:val="baseline"/>
          </w:rPr>
          <w:t>[74 FR 45736-45752].</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all Federal assistance programs administered by NIFA except for the capacity grant programs identified in </w:t>
      </w:r>
      <w:hyperlink r:id="rId10" w:history="1">
        <w:r>
          <w:rPr>
            <w:rFonts w:ascii="arial" w:eastAsia="arial" w:hAnsi="arial" w:cs="arial"/>
            <w:b w:val="0"/>
            <w:i/>
            <w:strike w:val="0"/>
            <w:noProof w:val="0"/>
            <w:color w:val="0077CC"/>
            <w:position w:val="0"/>
            <w:sz w:val="20"/>
            <w:u w:val="single"/>
            <w:vertAlign w:val="baseline"/>
          </w:rPr>
          <w:t>7 CFR 3430.1(f)</w:t>
        </w:r>
      </w:hyperlink>
      <w:r>
        <w:rPr>
          <w:rFonts w:ascii="arial" w:eastAsia="arial" w:hAnsi="arial" w:cs="arial"/>
          <w:b w:val="0"/>
          <w:i w:val="0"/>
          <w:strike w:val="0"/>
          <w:noProof w:val="0"/>
          <w:color w:val="000000"/>
          <w:position w:val="0"/>
          <w:sz w:val="20"/>
          <w:u w:val="none"/>
          <w:vertAlign w:val="baseline"/>
        </w:rPr>
        <w:t xml:space="preserve">, the Small Business Innovation Research programs,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3403, and the Veterinary Medicine Loan Repayment Program, with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7 CFR part 3431.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organized part 3430 as follows: Subparts A through E provide administrative provisions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noncompetitive non-capacity Federal assistance programs. Subparts F and thereafter apply to specific NIFA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NIFA is, to the extent practical, using the following subpart template for each program authority: (1)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(2) purpose; (3) definitions (those in addition to or different from § 3430.2); (4) eligibility; (5) project types and priorities; (6) funding restrictions; and (7) matching requirements. Subparts F and thereafter contain the above seven components in this order. Additional sections may be added for a specific program if there are additional requirements or a need for additional rules for the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reporting requirements). Through this rulemaking, NIFA is adding subpart P for the administrative provisions that are specific to the FINI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Administrative Requirements for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has been determined to be not significant for purposes of Executive Order 12866. The rule will not create a serious inconsistency or otherwise interfere with an action taken or planned by another agency; nor will it materially alter the budgetary impact of entitlements, grants, user fees, or loan programs; nor will it have an annual effect on the economy of $ 100 million or more; nor will it adversely affect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Further, it does not raise a novel legal or policy issue arising out of legal mandates, the President's priorities, or principles set forth in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of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has been reviewed in accordance with the Regulatory Flexibility Act of 1980, as amended by the Small Business Regulatory Enforcement Fairness Act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 Department certifies that this final rule will not have a significant economic impact on a substantial number of small entities. The rule does not involve regulatory and informational requirements regarding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certifies that this final rule has been assessed in accordance with the requirements of the Paperwork Reduction Act, </w:t>
      </w:r>
      <w:hyperlink r:id="rId1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Department concludes that this final rule does not impose any new information requirements or increase the burden hours. In addition to the SF-424 form families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Research and Related and Mandatory) and the SF-425 Federal Financial Report (FFR) No. 0348-0061, NIFA has three currently approved OMB information collections associated with this rulemaking: OMB Information Collection No. 0524-0042, NIFA REEport; No. 0524-0041, NIFA Application Review Process; and No. 0524-0026, Assurance of Compliance with the Department of Agriculture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Assuring Civil Rights Compliance and Organizational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applies to the following Federal financial assistance programs administered by NIFA: CFDA No. 10.331 Food Insecurity Nutrition Incentive Grants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 and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this final rule in accordance with the requirements of Executive Order No. 13132 and the Unfunded Mandates Reform Act of 1995, </w:t>
      </w:r>
      <w:hyperlink r:id="rId12"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has found no potential or substantial direct effects on the States, on the relationship between the national government and the States, or on the distribution of power and responsibilities among the various levels of government. As there is no Federal mandate contained herein that could result in increased expenditures by State, local, or tribal governments, or by the private sector, the Department has not prepared a budgetary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This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and the President's Memorandum of June 1, 1998, require each agency to write all rules in plain language. The Department invites comments on how to make this final rule easier to understand.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3430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Agricultural research, Grant programs--agriculture, Privacy,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7 CFR part 3430 is amended as set forth below:</w:t>
      </w:r>
    </w:p>
    <w:p>
      <w:pPr>
        <w:numPr>
          <w:numId w:val="1"/>
        </w:numPr>
        <w:spacing w:before="120" w:line="240" w:lineRule="atLeast"/>
      </w:pPr>
      <w:r>
        <w:rPr>
          <w:b/>
          <w:i/>
          <w:sz w:val="20"/>
        </w:rPr>
        <w:t>NCOMPETITIVE NON-FORMULA FEDERAL ASSISTANCE PROGRAMS--GENERAL AWARD ADMINISTRATIVE PROVISIONS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U.S.C. 3316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106-107</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31 U.S.C. 6101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P to read as follows:</w:t>
      </w:r>
    </w:p>
    <w:p>
      <w:pPr>
        <w:numPr>
          <w:numId w:val="3"/>
        </w:numPr>
        <w:spacing w:before="120" w:line="240" w:lineRule="atLeast"/>
      </w:pPr>
      <w:r>
        <w:rPr>
          <w:b/>
          <w:i w:val="0"/>
          <w:sz w:val="20"/>
        </w:rPr>
        <w:t>trition Incentive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3430.1100 Applicability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3430.1101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3430.1102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3430.1103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3430.1104 Project types and priorities.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3430.1105 Funding restrictions.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3430.1106 Matching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3430.1107 Program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3430.1108 Priorities.</w:t>
      </w:r>
    </w:p>
    <w:p>
      <w:pPr>
        <w:numPr>
          <w:numId w:val="4"/>
        </w:numPr>
        <w:spacing w:before="120" w:line="240" w:lineRule="atLeast"/>
      </w:pPr>
      <w:r>
        <w:rPr>
          <w:b/>
          <w:i w:val="0"/>
          <w:sz w:val="20"/>
        </w:rPr>
        <w:t>trition Incentive Program</w:t>
      </w:r>
    </w:p>
    <w:p>
      <w:pPr>
        <w:numPr>
          <w:numId w:val="5"/>
        </w:numPr>
        <w:spacing w:before="120" w:line="240" w:lineRule="atLeast"/>
      </w:pPr>
      <w:r>
        <w:rPr>
          <w:b/>
          <w:i/>
          <w:sz w:val="20"/>
        </w:rPr>
        <w:t>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apply to the Food Insecurity Nutrition Incentive (FINI) grants program authorized under section 4405 of the Food, Conservation, and Energy Act of 2008 (</w:t>
      </w:r>
      <w:hyperlink r:id="rId8" w:history="1">
        <w:r>
          <w:rPr>
            <w:rFonts w:ascii="arial" w:eastAsia="arial" w:hAnsi="arial" w:cs="arial"/>
            <w:b w:val="0"/>
            <w:i/>
            <w:strike w:val="0"/>
            <w:noProof w:val="0"/>
            <w:color w:val="0077CC"/>
            <w:position w:val="0"/>
            <w:sz w:val="20"/>
            <w:u w:val="single"/>
            <w:vertAlign w:val="baseline"/>
          </w:rPr>
          <w:t>7 U.S.C. 7517</w:t>
        </w:r>
      </w:hyperlink>
      <w:r>
        <w:rPr>
          <w:rFonts w:ascii="arial" w:eastAsia="arial" w:hAnsi="arial" w:cs="arial"/>
          <w:b w:val="0"/>
          <w:i w:val="0"/>
          <w:strike w:val="0"/>
          <w:noProof w:val="0"/>
          <w:color w:val="000000"/>
          <w:position w:val="0"/>
          <w:sz w:val="20"/>
          <w:u w:val="none"/>
          <w:vertAlign w:val="baseline"/>
        </w:rPr>
        <w:t>), as added by section 4208 of the Agricultural Act of 2014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w:t>
      </w:r>
    </w:p>
    <w:p>
      <w:pPr>
        <w:numPr>
          <w:numId w:val="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primary goal of the FINI grants program is to fund and evaluate projects intended to increase the purchase of </w:t>
      </w:r>
      <w:r>
        <w:rPr>
          <w:rFonts w:ascii="arial" w:eastAsia="arial" w:hAnsi="arial" w:cs="arial"/>
          <w:b/>
          <w:i w:val="0"/>
          <w:strike w:val="0"/>
          <w:noProof w:val="0"/>
          <w:color w:val="000000"/>
          <w:position w:val="0"/>
          <w:sz w:val="20"/>
          <w:u w:val="none"/>
          <w:vertAlign w:val="baseline"/>
        </w:rPr>
        <w:t> [*64311] </w:t>
      </w:r>
      <w:r>
        <w:rPr>
          <w:rFonts w:ascii="arial" w:eastAsia="arial" w:hAnsi="arial" w:cs="arial"/>
          <w:b w:val="0"/>
          <w:i w:val="0"/>
          <w:strike w:val="0"/>
          <w:noProof w:val="0"/>
          <w:color w:val="000000"/>
          <w:position w:val="0"/>
          <w:sz w:val="20"/>
          <w:u w:val="none"/>
          <w:vertAlign w:val="baseline"/>
        </w:rPr>
        <w:t xml:space="preserve"> fruits and vegetables by low-income consumers participating in Supplemental Nutrition Assistance Program (SNAP) by providing incentives at the point of purchase.</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applicable to the FINI grants program under this subpart include: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Community food assessment</w:t>
      </w:r>
      <w:r>
        <w:rPr>
          <w:rFonts w:ascii="arial" w:eastAsia="arial" w:hAnsi="arial" w:cs="arial"/>
          <w:b w:val="0"/>
          <w:i w:val="0"/>
          <w:strike w:val="0"/>
          <w:noProof w:val="0"/>
          <w:color w:val="000000"/>
          <w:position w:val="0"/>
          <w:sz w:val="20"/>
          <w:u w:val="none"/>
          <w:vertAlign w:val="baseline"/>
        </w:rPr>
        <w:t xml:space="preserve"> means a collaborative and participatory process that systematically examines a broad range of community food issues and assets, so as to inform change actions to make the community more food secure.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Emergency feeding organization</w:t>
      </w:r>
      <w:r>
        <w:rPr>
          <w:rFonts w:ascii="arial" w:eastAsia="arial" w:hAnsi="arial" w:cs="arial"/>
          <w:b w:val="0"/>
          <w:i w:val="0"/>
          <w:strike w:val="0"/>
          <w:noProof w:val="0"/>
          <w:color w:val="000000"/>
          <w:position w:val="0"/>
          <w:sz w:val="20"/>
          <w:u w:val="none"/>
          <w:vertAlign w:val="baseline"/>
        </w:rPr>
        <w:t xml:space="preserve"> means a public or nonprofit organization that administers activities and projects (including the activities and projects of a charitable institution, a food bank, a food pantry, a hunger relief center, a soup kitchen, or a similar public or private nonprofit eligible recipient agency) providing nutrition assistance to relieve situations of emergency and distress through the provision of food to needy persons, including low-income and unemployed persons. (See </w:t>
      </w:r>
      <w:hyperlink r:id="rId15" w:history="1">
        <w:r>
          <w:rPr>
            <w:rFonts w:ascii="arial" w:eastAsia="arial" w:hAnsi="arial" w:cs="arial"/>
            <w:b w:val="0"/>
            <w:i/>
            <w:strike w:val="0"/>
            <w:noProof w:val="0"/>
            <w:color w:val="0077CC"/>
            <w:position w:val="0"/>
            <w:sz w:val="20"/>
            <w:u w:val="single"/>
            <w:vertAlign w:val="baseline"/>
          </w:rPr>
          <w:t>7 U.S.C. 7501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Exemplary practices</w:t>
      </w:r>
      <w:r>
        <w:rPr>
          <w:rFonts w:ascii="arial" w:eastAsia="arial" w:hAnsi="arial" w:cs="arial"/>
          <w:b w:val="0"/>
          <w:i w:val="0"/>
          <w:strike w:val="0"/>
          <w:noProof w:val="0"/>
          <w:color w:val="000000"/>
          <w:position w:val="0"/>
          <w:sz w:val="20"/>
          <w:u w:val="none"/>
          <w:vertAlign w:val="baseline"/>
        </w:rPr>
        <w:t xml:space="preserve"> means high quality community food security work that emphasizes food security, nutritional quality, environmental stewardship, and economic and social equity.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Expert reviewers</w:t>
      </w:r>
      <w:r>
        <w:rPr>
          <w:rFonts w:ascii="arial" w:eastAsia="arial" w:hAnsi="arial" w:cs="arial"/>
          <w:b w:val="0"/>
          <w:i w:val="0"/>
          <w:strike w:val="0"/>
          <w:noProof w:val="0"/>
          <w:color w:val="000000"/>
          <w:position w:val="0"/>
          <w:sz w:val="20"/>
          <w:u w:val="none"/>
          <w:vertAlign w:val="baseline"/>
        </w:rPr>
        <w:t xml:space="preserve"> means individuals selected from among those recognized as uniquely qualified by training and experience in their respective fields to give expert advice on the merit of grant applications in such fields who evaluate eligible proposals submitted to this program in their respective area(s) of expertise.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Food security</w:t>
      </w:r>
      <w:r>
        <w:rPr>
          <w:rFonts w:ascii="arial" w:eastAsia="arial" w:hAnsi="arial" w:cs="arial"/>
          <w:b w:val="0"/>
          <w:i w:val="0"/>
          <w:strike w:val="0"/>
          <w:noProof w:val="0"/>
          <w:color w:val="000000"/>
          <w:position w:val="0"/>
          <w:sz w:val="20"/>
          <w:u w:val="none"/>
          <w:vertAlign w:val="baseline"/>
        </w:rPr>
        <w:t xml:space="preserve"> means access to affordable, nutritious, and culturally appropriate food for all people at all times.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Fruits and vegetables</w:t>
      </w:r>
      <w:r>
        <w:rPr>
          <w:rFonts w:ascii="arial" w:eastAsia="arial" w:hAnsi="arial" w:cs="arial"/>
          <w:b w:val="0"/>
          <w:i w:val="0"/>
          <w:strike w:val="0"/>
          <w:noProof w:val="0"/>
          <w:color w:val="000000"/>
          <w:position w:val="0"/>
          <w:sz w:val="20"/>
          <w:u w:val="none"/>
          <w:vertAlign w:val="baseline"/>
        </w:rPr>
        <w:t xml:space="preserve"> means, for the purposes of the incentives provided under these grants, any variety of fresh, canned, dried, or frozen whole or cut fruits and vegetables without added sugars, fats or oils, and salt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sodium).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means a systematic and visual way to present and share an understanding of the relationships among resources available to operate a program, and includes: Planned activities and anticipated results; and the presentation of the resources, inputs, activities, outputs, outcomes and impacts.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Outcomes</w:t>
      </w:r>
      <w:r>
        <w:rPr>
          <w:rFonts w:ascii="arial" w:eastAsia="arial" w:hAnsi="arial" w:cs="arial"/>
          <w:b w:val="0"/>
          <w:i w:val="0"/>
          <w:strike w:val="0"/>
          <w:noProof w:val="0"/>
          <w:color w:val="000000"/>
          <w:position w:val="0"/>
          <w:sz w:val="20"/>
          <w:u w:val="none"/>
          <w:vertAlign w:val="baseline"/>
        </w:rPr>
        <w:t xml:space="preserve"> means the changes in the wellbeing of individuals that can be attributed to a particular project, program, or policy, or that a program hopes to achieve over time. They indicate a measurable change in participant knowledge, attitudes, or behaviors.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Process evaluation</w:t>
      </w:r>
      <w:r>
        <w:rPr>
          <w:rFonts w:ascii="arial" w:eastAsia="arial" w:hAnsi="arial" w:cs="arial"/>
          <w:b w:val="0"/>
          <w:i w:val="0"/>
          <w:strike w:val="0"/>
          <w:noProof w:val="0"/>
          <w:color w:val="000000"/>
          <w:position w:val="0"/>
          <w:sz w:val="20"/>
          <w:u w:val="none"/>
          <w:vertAlign w:val="baseline"/>
        </w:rPr>
        <w:t xml:space="preserve"> means examining program activities in terms of:</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sex, race, occupation, or other demographic variables of the target population;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program's organization, funding, and staffing;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program's location and timing. Process evaluation focuses on program activities rather than outcomes.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PromiseZone</w:t>
      </w:r>
      <w:r>
        <w:rPr>
          <w:rFonts w:ascii="arial" w:eastAsia="arial" w:hAnsi="arial" w:cs="arial"/>
          <w:b w:val="0"/>
          <w:i w:val="0"/>
          <w:strike w:val="0"/>
          <w:noProof w:val="0"/>
          <w:color w:val="000000"/>
          <w:position w:val="0"/>
          <w:sz w:val="20"/>
          <w:u w:val="none"/>
          <w:vertAlign w:val="baseline"/>
        </w:rPr>
        <w:t xml:space="preserve"> refers to designated high-poverty communities "where the federal government will partner with and invest in communities to create jobs, leverage private investment, increase economic activity, expand educational opportunities, and improve public safety." See </w:t>
      </w:r>
      <w:hyperlink r:id="rId16" w:history="1">
        <w:r>
          <w:rPr>
            <w:rFonts w:ascii="arial" w:eastAsia="arial" w:hAnsi="arial" w:cs="arial"/>
            <w:b w:val="0"/>
            <w:i/>
            <w:strike w:val="0"/>
            <w:noProof w:val="0"/>
            <w:color w:val="0077CC"/>
            <w:position w:val="0"/>
            <w:sz w:val="20"/>
            <w:u w:val="single"/>
            <w:vertAlign w:val="baseline"/>
          </w:rPr>
          <w:t>https://www.hudexchange.info/programs/promise-zones/</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 special type of organizationthat has been organized to meet specific tax-exempt purposes. To qualify for nonprofit status, your organizationmust be formed to benefit: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group of individuals; or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membership of the nonprofit.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StrikeForce</w:t>
      </w:r>
      <w:r>
        <w:rPr>
          <w:rFonts w:ascii="arial" w:eastAsia="arial" w:hAnsi="arial" w:cs="arial"/>
          <w:b w:val="0"/>
          <w:i w:val="0"/>
          <w:strike w:val="0"/>
          <w:noProof w:val="0"/>
          <w:color w:val="000000"/>
          <w:position w:val="0"/>
          <w:sz w:val="20"/>
          <w:u w:val="none"/>
          <w:vertAlign w:val="baseline"/>
        </w:rPr>
        <w:t xml:space="preserve"> means the "USDA's StrikeForce Initiative for Rural Growth and Opportunity, which works to address the unique set of challenges faced by many of America's rural communities. Through StrikeForce, USDA is leveraging resources and collaborating with partners and stakeholders to improve economic opportunity and quality of life in these areas. See </w:t>
      </w:r>
      <w:hyperlink r:id="rId17" w:history="1">
        <w:r>
          <w:rPr>
            <w:rFonts w:ascii="arial" w:eastAsia="arial" w:hAnsi="arial" w:cs="arial"/>
            <w:b w:val="0"/>
            <w:i/>
            <w:strike w:val="0"/>
            <w:noProof w:val="0"/>
            <w:color w:val="0077CC"/>
            <w:position w:val="0"/>
            <w:sz w:val="20"/>
            <w:u w:val="single"/>
            <w:vertAlign w:val="baseline"/>
          </w:rPr>
          <w:t>http://www.usda.gov/wps/portal/usda/usdahome?navid=STRIKE_FORCE</w:t>
        </w:r>
      </w:hyperlink>
      <w:r>
        <w:rPr>
          <w:rFonts w:ascii="arial" w:eastAsia="arial" w:hAnsi="arial" w:cs="arial"/>
          <w:b w:val="0"/>
          <w:i w:val="0"/>
          <w:strike w:val="0"/>
          <w:noProof w:val="0"/>
          <w:color w:val="000000"/>
          <w:position w:val="0"/>
          <w:sz w:val="20"/>
          <w:u w:val="none"/>
          <w:vertAlign w:val="baseline"/>
        </w:rPr>
        <w:t xml:space="preserve"> for more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Supplemental Nutrition Assistance Program (SNAP)</w:t>
      </w:r>
      <w:r>
        <w:rPr>
          <w:rFonts w:ascii="arial" w:eastAsia="arial" w:hAnsi="arial" w:cs="arial"/>
          <w:b w:val="0"/>
          <w:i w:val="0"/>
          <w:strike w:val="0"/>
          <w:noProof w:val="0"/>
          <w:color w:val="000000"/>
          <w:position w:val="0"/>
          <w:sz w:val="20"/>
          <w:u w:val="none"/>
          <w:vertAlign w:val="baseline"/>
        </w:rPr>
        <w:t xml:space="preserve"> means the supplemental nutrition assistance program established under the Food and Nutrition Act of 2008 (</w:t>
      </w:r>
      <w:hyperlink r:id="rId18" w:history="1">
        <w:r>
          <w:rPr>
            <w:rFonts w:ascii="arial" w:eastAsia="arial" w:hAnsi="arial" w:cs="arial"/>
            <w:b w:val="0"/>
            <w:i/>
            <w:strike w:val="0"/>
            <w:noProof w:val="0"/>
            <w:color w:val="0077CC"/>
            <w:position w:val="0"/>
            <w:sz w:val="20"/>
            <w:u w:val="single"/>
            <w:vertAlign w:val="baseline"/>
          </w:rPr>
          <w:t>7 U.S.C.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Value chain</w:t>
      </w:r>
      <w:r>
        <w:rPr>
          <w:rFonts w:ascii="arial" w:eastAsia="arial" w:hAnsi="arial" w:cs="arial"/>
          <w:b w:val="0"/>
          <w:i w:val="0"/>
          <w:strike w:val="0"/>
          <w:noProof w:val="0"/>
          <w:color w:val="000000"/>
          <w:position w:val="0"/>
          <w:sz w:val="20"/>
          <w:u w:val="none"/>
          <w:vertAlign w:val="baseline"/>
        </w:rPr>
        <w:t xml:space="preserve"> means adding value to a product, including production, marketing, and the provision of after-sales service and incorporating fair pricing to farms. It also involves keeping the final pricing to customers within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range. Value chain development, therefore, is a process of building relationships between supplier and buyer that are reciprocal and win-win; instead of always striving to buy at lowest cost.</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to receive a grant under this subpart is limited to government agencies and nonprofit organizations. All applicants must demonstrate in their application that they are a government agency or nonprofit organization. Eligible government agencies and nonprofit organizations may include: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emergency feeding organization;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agricultural cooperative;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producer network or association;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 health organization;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 benefit corporation;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economic development corporation;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farmers' market;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community-supported agriculture program;</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buying club;</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SNAP-authorized retailer;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local, or tribal agency.</w:t>
      </w:r>
    </w:p>
    <w:p>
      <w:pPr>
        <w:numPr>
          <w:numId w:val="15"/>
        </w:numPr>
        <w:spacing w:before="120" w:line="240" w:lineRule="atLeast"/>
      </w:pPr>
      <w:r>
        <w:rPr>
          <w:b/>
          <w:i/>
          <w:sz w:val="20"/>
        </w:rPr>
        <w:t>ements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to receive a grant under this subpart, applicants must propose projects that: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support of the State SNAP agency;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increase the purchase of fruits and vegetables by low-income consumers participating in SNAP by providing incentives at the point of purchase;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Operate through authorized SNAP retailers and comply with all relevant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operating requirements;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participate in the FINI comprehensive program evaluation;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same terms and conditions apply to purchases made by individuals with SNAP benefits and with incentives under the FINI grants program as apply to purchases made by individuals who are not members of households receiving benefits as provided in § 278.2(b) of this title;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effective and efficient technologies for benefit redemption systems that may be replicated in other States and communities.</w:t>
      </w:r>
    </w:p>
    <w:p>
      <w:pPr>
        <w:keepNext w:val="0"/>
        <w:numPr>
          <w:numId w:val="23"/>
        </w:numPr>
        <w:spacing w:before="120" w:after="0" w:line="260" w:lineRule="atLeast"/>
        <w:ind w:right="0"/>
        <w:jc w:val="both"/>
      </w:pPr>
      <w:r>
        <w:rPr>
          <w:b/>
          <w:i/>
          <w:sz w:val="20"/>
        </w:rPr>
        <w:t>other competencies.</w:t>
      </w:r>
      <w:r>
        <w:rPr>
          <w:rFonts w:ascii="arial" w:eastAsia="arial" w:hAnsi="arial" w:cs="arial"/>
          <w:b w:val="0"/>
          <w:i w:val="0"/>
          <w:strike w:val="0"/>
          <w:noProof w:val="0"/>
          <w:color w:val="000000"/>
          <w:position w:val="0"/>
          <w:sz w:val="20"/>
          <w:u w:val="none"/>
          <w:vertAlign w:val="baseline"/>
        </w:rPr>
        <w:t>To be eligible to receive a grant under this subpart, applicants must meet the following requirements: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experience: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efforts to reduce food insecurity in the community, including food distribution, improving access to services, or coordinating services and programs;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SNAP program;</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Demonstrate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to implement a project, provide fiscal accountability, collect data, and prepare reports and other necessary documentation;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 the commitment of the State SNAP agency to cooperate with the project;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Possess a demonstrated willingness to share information with </w:t>
      </w:r>
      <w:r>
        <w:rPr>
          <w:rFonts w:ascii="arial" w:eastAsia="arial" w:hAnsi="arial" w:cs="arial"/>
          <w:b/>
          <w:i w:val="0"/>
          <w:strike w:val="0"/>
          <w:noProof w:val="0"/>
          <w:color w:val="000000"/>
          <w:position w:val="0"/>
          <w:sz w:val="20"/>
          <w:u w:val="none"/>
          <w:vertAlign w:val="baseline"/>
        </w:rPr>
        <w:t> [*64312] </w:t>
      </w:r>
      <w:r>
        <w:rPr>
          <w:rFonts w:ascii="arial" w:eastAsia="arial" w:hAnsi="arial" w:cs="arial"/>
          <w:b w:val="0"/>
          <w:i w:val="0"/>
          <w:strike w:val="0"/>
          <w:noProof w:val="0"/>
          <w:color w:val="000000"/>
          <w:position w:val="0"/>
          <w:sz w:val="20"/>
          <w:u w:val="none"/>
          <w:vertAlign w:val="baseline"/>
        </w:rPr>
        <w:t xml:space="preserve"> researchers, evaluators (including the independent evaluator for the program), practitioners, and other interested parties, including a plan for dissemination of results to stakeholders.</w:t>
      </w:r>
    </w:p>
    <w:p>
      <w:pPr>
        <w:keepNext w:val="0"/>
        <w:numPr>
          <w:numId w:val="30"/>
        </w:numPr>
        <w:spacing w:before="120" w:after="0" w:line="260" w:lineRule="atLeast"/>
        <w:ind w:right="0"/>
        <w:jc w:val="both"/>
      </w:pPr>
      <w:r>
        <w:rPr>
          <w:b/>
          <w:i/>
          <w:sz w:val="20"/>
        </w:rPr>
        <w:t>siderations.</w:t>
      </w:r>
      <w:r>
        <w:rPr>
          <w:rFonts w:ascii="arial" w:eastAsia="arial" w:hAnsi="arial" w:cs="arial"/>
          <w:b w:val="0"/>
          <w:i w:val="0"/>
          <w:strike w:val="0"/>
          <w:noProof w:val="0"/>
          <w:color w:val="000000"/>
          <w:position w:val="0"/>
          <w:sz w:val="20"/>
          <w:u w:val="none"/>
          <w:vertAlign w:val="baseline"/>
        </w:rPr>
        <w:t>Applicants are encouraged: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propose projects that will provide employees with important job skills;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have experience the following areas: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 food work, particularly concerning small and medium-size farms, including the provision of food to people in low-income communities and the development of new markets in low-income communities for agricultural producers;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training and business development activities for food-related activities in low-income communities.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for a grant under this subpart are encouraged to seek and create partnerships with public or private, nonprofit or for-profit entities, including links with academic institutions (including minority-serving colleges and universities) or other appropriate professionals; community-based organizations; local government entities; PromiseZone lead applicant/organization or implementation partners; and StrikeForce area coordinators or partnering entities for the purposes of providing additional Federal resources and strengthening under-resourced communities. Only the applicant must meet the requirements specified in this section for grant eligibility. Project partners and collaborators need not meet the eligibility requirements.</w:t>
      </w:r>
    </w:p>
    <w:p>
      <w:pPr>
        <w:numPr>
          <w:numId w:val="35"/>
        </w:numPr>
        <w:spacing w:before="120" w:line="240" w:lineRule="atLeast"/>
      </w:pPr>
      <w:r>
        <w:rPr>
          <w:b/>
          <w:i w:val="0"/>
          <w:sz w:val="20"/>
        </w:rPr>
        <w:t>priorities.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FPPs are aimed at new entrants seeking funding for a project in the early stages of incentive program development.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FPs are aimed at mid-sized groups developing incentive programs at the local or State level.</w:t>
      </w:r>
    </w:p>
    <w:p>
      <w:pPr>
        <w:keepNext w:val="0"/>
        <w:numPr>
          <w:numId w:val="38"/>
        </w:numPr>
        <w:spacing w:before="120" w:after="0" w:line="260" w:lineRule="atLeast"/>
        <w:ind w:right="0"/>
        <w:jc w:val="both"/>
      </w:pPr>
      <w:r>
        <w:rPr>
          <w:b/>
          <w:i/>
          <w:sz w:val="20"/>
        </w:rPr>
        <w:t>(FLSP).</w:t>
      </w:r>
      <w:r>
        <w:rPr>
          <w:rFonts w:ascii="arial" w:eastAsia="arial" w:hAnsi="arial" w:cs="arial"/>
          <w:b w:val="0"/>
          <w:i w:val="0"/>
          <w:strike w:val="0"/>
          <w:noProof w:val="0"/>
          <w:color w:val="000000"/>
          <w:position w:val="0"/>
          <w:sz w:val="20"/>
          <w:u w:val="none"/>
          <w:vertAlign w:val="baseline"/>
        </w:rPr>
        <w:t>FLSPs are aimed at groups developing multi-county, State, and regional incentive programs with the largest target audience of all FINI projects.</w:t>
      </w:r>
    </w:p>
    <w:p>
      <w:pPr>
        <w:numPr>
          <w:numId w:val="39"/>
        </w:numPr>
        <w:spacing w:before="120" w:line="240" w:lineRule="atLeast"/>
      </w:pPr>
      <w:r>
        <w:rPr>
          <w:b/>
          <w:i w:val="0"/>
          <w:sz w:val="20"/>
        </w:rPr>
        <w:t>ns.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made available for grants under this subpart shall not be used for the construction of a new building or facility or the acquisition, expansion, remodeling, or alteration of an existing building or facility (including site grading and improvement, and architect fees).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 3430.54, indirect costs are allowable.</w:t>
      </w:r>
    </w:p>
    <w:p>
      <w:pPr>
        <w:numPr>
          <w:numId w:val="42"/>
        </w:numPr>
        <w:spacing w:before="120" w:line="240" w:lineRule="atLeast"/>
      </w:pPr>
      <w:r>
        <w:rPr>
          <w:b/>
          <w:i w:val="0"/>
          <w:sz w:val="20"/>
        </w:rPr>
        <w:t>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a grant under this subpart must provide matching contributions on a dollar-for-dollar basis for all Federal funds awarded.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non-Federal share of the cost of a project funded by a grant under this subpart may be provided by a State or local government or a private source. The matching requirement in this section may be met through cash or in-kind contributions, including third-party in-kind contributions fairly evaluated, including facilities, equipment, or services.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partners with a for-profit entity, the non-Federal share that is required to be provided by the applicant may not include the services of an employee of that for-profit entity, including salaries paid or expenses covered by that employer.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indirect costs as in-kind matching contributions is subject to § 3430.52(b).</w:t>
      </w:r>
    </w:p>
    <w:p>
      <w:pPr>
        <w:numPr>
          <w:numId w:val="47"/>
        </w:numPr>
        <w:spacing w:before="120" w:line="240" w:lineRule="atLeast"/>
      </w:pPr>
      <w:r>
        <w:rPr>
          <w:b/>
          <w:i w:val="0"/>
          <w:sz w:val="20"/>
        </w:rPr>
        <w:t>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 of a grant under this subpart may not exceed 5 years. No-cost extensions of time beyond the maximum award terms will not be considered or granted.</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in awarding grants under this subpart, NIFA will give priority to projects that: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Maximize the share of funds used for direct incentives to participants;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direct-to-consumer sales marketing;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track record of designing and implementing successful nutrition incentive programs that connect low-income consumers and agricultural producers;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locally or regionally produced fruits and vegetables;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located in underserved communities; or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other criteria as established by NIFA and included in the requests for applications.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priorities in paragraph (a) of this section that are given by NIFA will depend on the project type identified in § 3430.1104. Applicants should refer to the requests for applications to determine which priorities will be given to which project types.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Done at Washington, DC, this 16th day of October, 2015.</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Robert E. Holland,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Associate Director for Operations, National Institute of Food and Agriculture.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2015-26848 Filed 10-22-15;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3410-22-P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becomes effective on October 23,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Lisa Scott-Morring, Policy Branch Chief, Policy and Oversight Division, Phone: 202-401-4515, Email: </w:t>
      </w:r>
      <w:hyperlink r:id="rId19" w:history="1">
        <w:r>
          <w:rPr>
            <w:rFonts w:ascii="arial" w:eastAsia="arial" w:hAnsi="arial" w:cs="arial"/>
            <w:b w:val="0"/>
            <w:i/>
            <w:strike w:val="0"/>
            <w:noProof w:val="0"/>
            <w:color w:val="0077CC"/>
            <w:position w:val="0"/>
            <w:sz w:val="20"/>
            <w:u w:val="single"/>
            <w:vertAlign w:val="baseline"/>
          </w:rPr>
          <w:t>lisa.scott-morring@nifa.usda.gov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64309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430-- COMPETITIVE AND N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P-- Food Insecurity 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P-- Food Insecurity 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3430.1100 Applicability of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 3430.11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3430.1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 3430.11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b) Further eligibility requ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1) Related to proje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2) Related to experience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c) Other, non-eligibility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d) Partnershi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3430.1104 Project type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a) FINI Pilot Projects (F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b) FINI Projects (F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c) FINI Large Scale Projec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3430.1105 Funding restri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a) Co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b) Indirect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 3430.1106 Matching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b) Source and ty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c) Lim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d) Indirect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3430.1107 Program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3430.1108 Prior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b) Exce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34-Y1P0-008G-Y0XS-00000-00&amp;context=" TargetMode="External" /><Relationship Id="rId11" Type="http://schemas.openxmlformats.org/officeDocument/2006/relationships/hyperlink" Target="https://advance.lexis.com/api/document?collection=statutes-legislation&amp;id=urn:contentItem:4YF7-GNM1-NRF4-408K-00000-00&amp;context=" TargetMode="External" /><Relationship Id="rId12" Type="http://schemas.openxmlformats.org/officeDocument/2006/relationships/hyperlink" Target="https://advance.lexis.com/api/document?collection=statutes-legislation&amp;id=urn:contentItem:4YF7-GW51-NRF4-4374-00000-00&amp;context=" TargetMode="External" /><Relationship Id="rId13" Type="http://schemas.openxmlformats.org/officeDocument/2006/relationships/hyperlink" Target="https://advance.lexis.com/api/document?collection=statutes-legislation&amp;id=urn:contentItem:4YF7-GS71-NRF4-405J-00000-00&amp;context=" TargetMode="External" /><Relationship Id="rId14" Type="http://schemas.openxmlformats.org/officeDocument/2006/relationships/hyperlink" Target="https://advance.lexis.com/api/document?collection=statutes-legislation&amp;id=urn:contentItem:4YF7-GHN1-NRF4-4342-00000-00&amp;context=" TargetMode="External" /><Relationship Id="rId15" Type="http://schemas.openxmlformats.org/officeDocument/2006/relationships/hyperlink" Target="https://advance.lexis.com/api/document?collection=statutes-legislation&amp;id=urn:contentItem:4YF7-GWM1-NRF4-42F9-00000-00&amp;context=" TargetMode="External" /><Relationship Id="rId16" Type="http://schemas.openxmlformats.org/officeDocument/2006/relationships/hyperlink" Target="https://www.hudexchange.info/programs/promise-zones/" TargetMode="External" /><Relationship Id="rId17" Type="http://schemas.openxmlformats.org/officeDocument/2006/relationships/hyperlink" Target="http://www.usda.gov/wps/portal/usda/usdahome?navid=STRIKE_FORCE" TargetMode="External" /><Relationship Id="rId18" Type="http://schemas.openxmlformats.org/officeDocument/2006/relationships/hyperlink" Target="https://advance.lexis.com/api/document?collection=statutes-legislation&amp;id=urn:contentItem:4YF7-GPP1-NRF4-40N3-00000-00&amp;context=" TargetMode="External" /><Relationship Id="rId19" Type="http://schemas.openxmlformats.org/officeDocument/2006/relationships/hyperlink" Target="mailto:lisa.scott-morring@nifa.usda.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6V-7560-006W-80G8-00000-00&amp;context=" TargetMode="External" /><Relationship Id="rId8" Type="http://schemas.openxmlformats.org/officeDocument/2006/relationships/hyperlink" Target="https://advance.lexis.com/api/document?collection=statutes-legislation&amp;id=urn:contentItem:4YF7-GMH1-NRF4-4523-00000-00&amp;context=" TargetMode="External" /><Relationship Id="rId9" Type="http://schemas.openxmlformats.org/officeDocument/2006/relationships/hyperlink" Target="https://advance.lexis.com/api/document?collection=administrative-codes&amp;id=urn:contentItem:4X55-04T0-006W-81M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