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67261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211, Monday, November 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67261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Uniform Administrative Requirements, Cost Principles, and Audit Requirements for Federal Awards; Direct Grant Programs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1890-AA19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CFR Part 3474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34 CFR Parts 74, 75, 76, 77, 80, 101, 206, 222, 225, 226, 270, 280, 299, 300, 303, 350, 361, 363, 364, 365, 367, 369, 370, 373, 377, 380, 381, 385, 396, 400, 426, 460, 491, 535, 606, 607, 608, 609, 611, 614, 628, 636, 637, 642, 643, 644, 645, 646, 647, 648, 650, 654, 655, 661, 662, 663, 664, 682, 692, 694, and 1100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adopts 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published on December 19, 2014. This action adopts the OMB guidance in title 2 of the CFR as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The Secretary amends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correct technical errors contained in the amendments.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Purpose of This Regulatory Action:</w:t>
      </w:r>
      <w:r>
        <w:rPr>
          <w:rFonts w:ascii="arial" w:eastAsia="arial" w:hAnsi="arial" w:cs="arial"/>
          <w:b w:val="0"/>
          <w:i w:val="0"/>
          <w:strike w:val="0"/>
          <w:noProof w:val="0"/>
          <w:color w:val="000000"/>
          <w:position w:val="0"/>
          <w:sz w:val="20"/>
          <w:u w:val="none"/>
          <w:vertAlign w:val="baseline"/>
        </w:rPr>
        <w:t xml:space="preserve"> On December 19, 2014, all of the Federal award-making agencies published a joint Interim Final Rule (IFR)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implementing the Office of Management and Budget's (OMB) Uniform Administrative Requirements, Cost Principles, and Audit Requirements for Federal awards (Uniform Guidance). The purpose of this action is to adopt the Uniform Guidance in 2 CFR part 200, except for </w:t>
      </w:r>
      <w:hyperlink r:id="rId8" w:history="1">
        <w:r>
          <w:rPr>
            <w:rFonts w:ascii="arial" w:eastAsia="arial" w:hAnsi="arial" w:cs="arial"/>
            <w:b w:val="0"/>
            <w:i/>
            <w:strike w:val="0"/>
            <w:noProof w:val="0"/>
            <w:color w:val="0077CC"/>
            <w:position w:val="0"/>
            <w:sz w:val="20"/>
            <w:u w:val="single"/>
            <w:vertAlign w:val="baseline"/>
          </w:rPr>
          <w:t>2 CFR 200.102(a)</w:t>
        </w:r>
      </w:hyperlink>
      <w:r>
        <w:rPr>
          <w:rFonts w:ascii="arial" w:eastAsia="arial" w:hAnsi="arial" w:cs="arial"/>
          <w:b w:val="0"/>
          <w:i w:val="0"/>
          <w:strike w:val="0"/>
          <w:noProof w:val="0"/>
          <w:color w:val="000000"/>
          <w:position w:val="0"/>
          <w:sz w:val="20"/>
          <w:u w:val="none"/>
          <w:vertAlign w:val="baseline"/>
        </w:rPr>
        <w:t xml:space="preserve">, CFR 200.207(a). This adoption gives regulatory effect to the OMB guidance and supplements that guidance, as needed, for the Department. The authority to amend chapter XXXIV of title 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subtitle A and chapters I, II, III, IV, V, and VI of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w:t>
      </w:r>
      <w:hyperlink r:id="rId9"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and 2 CFR part 200, unless otherwise noted.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Major Provisions of This Regulatory Action:</w:t>
      </w:r>
      <w:r>
        <w:rPr>
          <w:rFonts w:ascii="arial" w:eastAsia="arial" w:hAnsi="arial" w:cs="arial"/>
          <w:b w:val="0"/>
          <w:i w:val="0"/>
          <w:strike w:val="0"/>
          <w:noProof w:val="0"/>
          <w:color w:val="000000"/>
          <w:position w:val="0"/>
          <w:sz w:val="20"/>
          <w:u w:val="none"/>
          <w:vertAlign w:val="baseline"/>
        </w:rPr>
        <w:t xml:space="preserve"> This rule allows the Department to incorporate into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thus bring into effect the Uniform Guidance as required by OMB and reduces administrative burden and risk of waste, fraud, and abuse for the funds awarded by the Department through grants and cooperative agreements.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Costs and Benefits: </w:t>
      </w:r>
      <w:r>
        <w:rPr>
          <w:rFonts w:ascii="arial" w:eastAsia="arial" w:hAnsi="arial" w:cs="arial"/>
          <w:b w:val="0"/>
          <w:i w:val="0"/>
          <w:strike w:val="0"/>
          <w:noProof w:val="0"/>
          <w:color w:val="000000"/>
          <w:position w:val="0"/>
          <w:sz w:val="20"/>
          <w:u w:val="none"/>
          <w:vertAlign w:val="baseline"/>
        </w:rPr>
        <w:t xml:space="preserve"> The Secretary believes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impose significant costs on entities that would receive assistance through Department of Education programs. The benefits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far outweigh any potential costs incurred by entities. The benefits of the amendments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eliminating duplicative and conflicting guidance contained in eight previously separate sets of OMB guidance documents; streamlining reporting requirements; reducing burden for entities that have never received an indirect cost rate; and setting standard business processes using data definitions to reduce administrative burden on non-Federal entities that conduct business with multiple federal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19, 2014, the Secretary published an IFR for these amendments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(79 FR 75871).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 for minor editorial and technical revisions, there are no differences between the IFR and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Technical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makes two amendments to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correct errors made in the adoption of the Uniform Guidance. First, in amending § 75.135 to reference the Uniform Guidance, the Department failed to amend paragraph (b) of that section to reference the correct requirement in part 200. Second, in amending 34 CFR part 75, the Department inadvertently removed § 75.263 when we should have just revised the cross references in that section to refer to the appropriate citation in the Uniform Guidance. These two errors are corrected in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IFR, one party submitted comments directed at the Department's proposed adoption of the interim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 CFR part 200. Generally, we do not address technical and other minor changes raised by the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follows.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commenter requested clarification on whether or not the Department would grant local educational agencies (LEAs) a one-year grace period for implementing the procurement standards in </w:t>
      </w:r>
      <w:hyperlink r:id="rId12" w:history="1">
        <w:r>
          <w:rPr>
            <w:rFonts w:ascii="arial" w:eastAsia="arial" w:hAnsi="arial" w:cs="arial"/>
            <w:b w:val="0"/>
            <w:i/>
            <w:strike w:val="0"/>
            <w:noProof w:val="0"/>
            <w:color w:val="0077CC"/>
            <w:position w:val="0"/>
            <w:sz w:val="20"/>
            <w:u w:val="single"/>
            <w:vertAlign w:val="baseline"/>
          </w:rPr>
          <w:t>2 CFR 200.317</w:t>
        </w:r>
      </w:hyperlink>
      <w:r>
        <w:rPr>
          <w:rFonts w:ascii="arial" w:eastAsia="arial" w:hAnsi="arial" w:cs="arial"/>
          <w:b w:val="0"/>
          <w:i w:val="0"/>
          <w:strike w:val="0"/>
          <w:noProof w:val="0"/>
          <w:color w:val="000000"/>
          <w:position w:val="0"/>
          <w:sz w:val="20"/>
          <w:u w:val="none"/>
          <w:vertAlign w:val="baseline"/>
        </w:rPr>
        <w:t xml:space="preserve"> through </w:t>
      </w:r>
      <w:hyperlink r:id="rId13"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 The commenter also sought clarity on the specific date that the procurement standards would go into effect for LEAs after the grace period.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Uniform Guidance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adopted by the Department, </w:t>
      </w:r>
      <w:hyperlink r:id="rId11" w:history="1">
        <w:r>
          <w:rPr>
            <w:rFonts w:ascii="arial" w:eastAsia="arial" w:hAnsi="arial" w:cs="arial"/>
            <w:b w:val="0"/>
            <w:i/>
            <w:strike w:val="0"/>
            <w:noProof w:val="0"/>
            <w:color w:val="0077CC"/>
            <w:position w:val="0"/>
            <w:sz w:val="20"/>
            <w:u w:val="single"/>
            <w:vertAlign w:val="baseline"/>
          </w:rPr>
          <w:t>79 FR 75872</w:t>
        </w:r>
      </w:hyperlink>
      <w:r>
        <w:rPr>
          <w:rFonts w:ascii="arial" w:eastAsia="arial" w:hAnsi="arial" w:cs="arial"/>
          <w:b w:val="0"/>
          <w:i w:val="0"/>
          <w:strike w:val="0"/>
          <w:noProof w:val="0"/>
          <w:color w:val="000000"/>
          <w:position w:val="0"/>
          <w:sz w:val="20"/>
          <w:u w:val="none"/>
          <w:vertAlign w:val="baseline"/>
        </w:rPr>
        <w:t xml:space="preserve"> (December 19, 2014) authorize all non-Federal entities (including LEAs) to delay implementation of the procurement requirements in </w:t>
      </w:r>
      <w:hyperlink r:id="rId14"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 xml:space="preserve"> through </w:t>
      </w:r>
      <w:hyperlink r:id="rId13"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 xml:space="preserve"> for one fiscal year after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otherwise apply to a grant. A recent technical amendment to the Uniform Guidance expanded that grace period to two years. See </w:t>
      </w:r>
      <w:hyperlink r:id="rId15" w:history="1">
        <w:r>
          <w:rPr>
            <w:rFonts w:ascii="arial" w:eastAsia="arial" w:hAnsi="arial" w:cs="arial"/>
            <w:b w:val="0"/>
            <w:i/>
            <w:strike w:val="0"/>
            <w:noProof w:val="0"/>
            <w:color w:val="0077CC"/>
            <w:position w:val="0"/>
            <w:sz w:val="20"/>
            <w:u w:val="single"/>
            <w:vertAlign w:val="baseline"/>
          </w:rPr>
          <w:t>80 FR 54407</w:t>
        </w:r>
      </w:hyperlink>
      <w:r>
        <w:rPr>
          <w:rFonts w:ascii="arial" w:eastAsia="arial" w:hAnsi="arial" w:cs="arial"/>
          <w:b w:val="0"/>
          <w:i w:val="0"/>
          <w:strike w:val="0"/>
          <w:noProof w:val="0"/>
          <w:color w:val="000000"/>
          <w:position w:val="0"/>
          <w:sz w:val="20"/>
          <w:u w:val="none"/>
          <w:vertAlign w:val="baseline"/>
        </w:rPr>
        <w:t xml:space="preserve"> (September 10, 2015). As such, each LEA will have the option of delaying implementation of the procurement standards until the end of its second fiscal year that begins after the effective date of the Uniform Guidance (December 26, 2014). For LEAs with a fiscal year that ends on June 30, 2015 that decide to defer implementation for the full two years, the LEA's new procurement standards would not have to be effective until July 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commenter requested clarification of the phrase "tangible </w:t>
      </w:r>
      <w:r>
        <w:rPr>
          <w:rFonts w:ascii="arial" w:eastAsia="arial" w:hAnsi="arial" w:cs="arial"/>
          <w:b/>
          <w:i w:val="0"/>
          <w:strike w:val="0"/>
          <w:noProof w:val="0"/>
          <w:color w:val="000000"/>
          <w:position w:val="0"/>
          <w:sz w:val="20"/>
          <w:u w:val="none"/>
          <w:vertAlign w:val="baseline"/>
        </w:rPr>
        <w:t> [*67262] </w:t>
      </w:r>
      <w:r>
        <w:rPr>
          <w:rFonts w:ascii="arial" w:eastAsia="arial" w:hAnsi="arial" w:cs="arial"/>
          <w:b w:val="0"/>
          <w:i w:val="0"/>
          <w:strike w:val="0"/>
          <w:noProof w:val="0"/>
          <w:color w:val="000000"/>
          <w:position w:val="0"/>
          <w:sz w:val="20"/>
          <w:u w:val="none"/>
          <w:vertAlign w:val="baseline"/>
        </w:rPr>
        <w:t xml:space="preserve"> personal benefit" in </w:t>
      </w:r>
      <w:hyperlink r:id="rId14" w:history="1">
        <w:r>
          <w:rPr>
            <w:rFonts w:ascii="arial" w:eastAsia="arial" w:hAnsi="arial" w:cs="arial"/>
            <w:b w:val="0"/>
            <w:i/>
            <w:strike w:val="0"/>
            <w:noProof w:val="0"/>
            <w:color w:val="0077CC"/>
            <w:position w:val="0"/>
            <w:sz w:val="20"/>
            <w:u w:val="single"/>
            <w:vertAlign w:val="baseline"/>
          </w:rPr>
          <w:t>2 CFR 200.318(c)(1)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phrase "tangible personal benefit" is new language added to the general conflict of interest section of the general procurement standards that existed previously under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w:t>
      </w:r>
      <w:hyperlink r:id="rId16" w:history="1">
        <w:r>
          <w:rPr>
            <w:rFonts w:ascii="arial" w:eastAsia="arial" w:hAnsi="arial" w:cs="arial"/>
            <w:b w:val="0"/>
            <w:i/>
            <w:strike w:val="0"/>
            <w:noProof w:val="0"/>
            <w:color w:val="0077CC"/>
            <w:position w:val="0"/>
            <w:sz w:val="20"/>
            <w:u w:val="single"/>
            <w:vertAlign w:val="baseline"/>
          </w:rPr>
          <w:t>34 CFR 80.36(b)(3)</w:t>
        </w:r>
      </w:hyperlink>
      <w:r>
        <w:rPr>
          <w:rFonts w:ascii="arial" w:eastAsia="arial" w:hAnsi="arial" w:cs="arial"/>
          <w:b w:val="0"/>
          <w:i w:val="0"/>
          <w:strike w:val="0"/>
          <w:noProof w:val="0"/>
          <w:color w:val="000000"/>
          <w:position w:val="0"/>
          <w:sz w:val="20"/>
          <w:u w:val="none"/>
          <w:vertAlign w:val="baseline"/>
        </w:rPr>
        <w:t xml:space="preserve"> and OMB Circular A-102. The language was expanded from just "financial or other interest in" to also include "or a tangible personal benefit from" a firm considered for a contract from a grantee. This new language stresses the importance of ensuring that employees who select, award, and administer contracts supported by a Federal award are free from any real or apparent conflict of interest, including financial interests and other non-financial benefits that result in a personal benefit for the employee (such as improved employment opportunities, business referrals, political influence, etc.).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commenter expressed concern regarding the conflict of interest rules in </w:t>
      </w:r>
      <w:hyperlink r:id="rId17" w:history="1">
        <w:r>
          <w:rPr>
            <w:rFonts w:ascii="arial" w:eastAsia="arial" w:hAnsi="arial" w:cs="arial"/>
            <w:b w:val="0"/>
            <w:i/>
            <w:strike w:val="0"/>
            <w:noProof w:val="0"/>
            <w:color w:val="0077CC"/>
            <w:position w:val="0"/>
            <w:sz w:val="20"/>
            <w:u w:val="single"/>
            <w:vertAlign w:val="baseline"/>
          </w:rPr>
          <w:t>2 CFR 200.319(a)</w:t>
        </w:r>
      </w:hyperlink>
      <w:r>
        <w:rPr>
          <w:rFonts w:ascii="arial" w:eastAsia="arial" w:hAnsi="arial" w:cs="arial"/>
          <w:b w:val="0"/>
          <w:i w:val="0"/>
          <w:strike w:val="0"/>
          <w:noProof w:val="0"/>
          <w:color w:val="000000"/>
          <w:position w:val="0"/>
          <w:sz w:val="20"/>
          <w:u w:val="none"/>
          <w:vertAlign w:val="baseline"/>
        </w:rPr>
        <w:t xml:space="preserve">, specifically with regard to vendors with specialized expertise that may collaborate with grant applicants, because these vendors would be excluded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a contract (if the applicant is awarded a grant) due to their organizational conflict of interest. The commenter requested that the Department issue guidance allowing vendors to provide minimal input to applicants, such as LEAs, for the purpose of informing a Request for Proposal (RFP) and to not prohibit these vendors from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the RFP because of a conflict of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understands that an LEA may need to inform itself about the capacity and capability of potential contractors in order to prepare an RFP. In the course of doing so, an LEA may contact a number of vendors to collect information necessary for developing the RFP, as long as the LEA poses its request for information broadly so that any potential vendor has an opportunity to provide input. Soliciting input from one or two vendors would create, in most cases,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constituting an organizational conflict of interest.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commenter raised concerns with regard to the prohibition of using "brand name" instead of "an equal" product in order to avoid restrictive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t>
      </w:r>
      <w:hyperlink r:id="rId17" w:history="1">
        <w:r>
          <w:rPr>
            <w:rFonts w:ascii="arial" w:eastAsia="arial" w:hAnsi="arial" w:cs="arial"/>
            <w:b w:val="0"/>
            <w:i/>
            <w:strike w:val="0"/>
            <w:noProof w:val="0"/>
            <w:color w:val="0077CC"/>
            <w:position w:val="0"/>
            <w:sz w:val="20"/>
            <w:u w:val="single"/>
            <w:vertAlign w:val="baseline"/>
          </w:rPr>
          <w:t>2 CFR 200.319(a)(6)</w:t>
        </w:r>
      </w:hyperlink>
      <w:r>
        <w:rPr>
          <w:rFonts w:ascii="arial" w:eastAsia="arial" w:hAnsi="arial" w:cs="arial"/>
          <w:b w:val="0"/>
          <w:i w:val="0"/>
          <w:strike w:val="0"/>
          <w:noProof w:val="0"/>
          <w:color w:val="000000"/>
          <w:position w:val="0"/>
          <w:sz w:val="20"/>
          <w:u w:val="none"/>
          <w:vertAlign w:val="baseline"/>
        </w:rPr>
        <w:t xml:space="preserve">. Specifically, the commenter noted that in some cases, a school may have already invested in a particular technology infrastructure or selected a particular instructional framework and it would be impractical or impossible to switch to another product or instructional approach. The commenter requested that the Department issue guidance to clarify when specifying a "brand name" might be appropriate and not considered a restriction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t>
      </w:r>
      <w:hyperlink r:id="rId17" w:history="1">
        <w:r>
          <w:rPr>
            <w:rFonts w:ascii="arial" w:eastAsia="arial" w:hAnsi="arial" w:cs="arial"/>
            <w:b w:val="0"/>
            <w:i/>
            <w:strike w:val="0"/>
            <w:noProof w:val="0"/>
            <w:color w:val="0077CC"/>
            <w:position w:val="0"/>
            <w:sz w:val="20"/>
            <w:u w:val="single"/>
            <w:vertAlign w:val="baseline"/>
          </w:rPr>
          <w:t>2 CFR 200.319(a)(6)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new procurement requirements in the Uniform Guidance do not require an LEA to abandon a technology or instructional approach just because a similar technology or instructional approach would cost less. The Department also understands that in some limited situations, specifying a "brand name" may not restrict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t>
      </w:r>
      <w:hyperlink r:id="rId17" w:history="1">
        <w:r>
          <w:rPr>
            <w:rFonts w:ascii="arial" w:eastAsia="arial" w:hAnsi="arial" w:cs="arial"/>
            <w:b w:val="0"/>
            <w:i/>
            <w:strike w:val="0"/>
            <w:noProof w:val="0"/>
            <w:color w:val="0077CC"/>
            <w:position w:val="0"/>
            <w:sz w:val="20"/>
            <w:u w:val="single"/>
            <w:vertAlign w:val="baseline"/>
          </w:rPr>
          <w:t>2 CFR 200.319(a)(6)</w:t>
        </w:r>
      </w:hyperlink>
      <w:r>
        <w:rPr>
          <w:rFonts w:ascii="arial" w:eastAsia="arial" w:hAnsi="arial" w:cs="arial"/>
          <w:b w:val="0"/>
          <w:i w:val="0"/>
          <w:strike w:val="0"/>
          <w:noProof w:val="0"/>
          <w:color w:val="000000"/>
          <w:position w:val="0"/>
          <w:sz w:val="20"/>
          <w:u w:val="none"/>
          <w:vertAlign w:val="baseline"/>
        </w:rPr>
        <w:t xml:space="preserve">. If an LEA has already invested in a particular infrastructure or instructional framework, specifying a "brand name" compatible with the infrastructure or framework may be appropriate. However, the procurement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ensure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so the selected proposal is most advantageous to the program, with price and other factors considered. Thus, the LEA needs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find the lowest cost supplier of the technology or instructional approach (other factors) desired by the LEA. The Department will consider developing additional guidance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commenter noted two instances in which it believes that procurement by noncompetitive proposals (sole sourcing) should be allowed under </w:t>
      </w:r>
      <w:hyperlink r:id="rId18" w:history="1">
        <w:r>
          <w:rPr>
            <w:rFonts w:ascii="arial" w:eastAsia="arial" w:hAnsi="arial" w:cs="arial"/>
            <w:b w:val="0"/>
            <w:i/>
            <w:strike w:val="0"/>
            <w:noProof w:val="0"/>
            <w:color w:val="0077CC"/>
            <w:position w:val="0"/>
            <w:sz w:val="20"/>
            <w:u w:val="single"/>
            <w:vertAlign w:val="baseline"/>
          </w:rPr>
          <w:t>2 CFR 200.320(f)(1)</w:t>
        </w:r>
      </w:hyperlink>
      <w:r>
        <w:rPr>
          <w:rFonts w:ascii="arial" w:eastAsia="arial" w:hAnsi="arial" w:cs="arial"/>
          <w:b w:val="0"/>
          <w:i w:val="0"/>
          <w:strike w:val="0"/>
          <w:noProof w:val="0"/>
          <w:color w:val="000000"/>
          <w:position w:val="0"/>
          <w:sz w:val="20"/>
          <w:u w:val="none"/>
          <w:vertAlign w:val="baseline"/>
        </w:rPr>
        <w:t xml:space="preserve"> where "the item is available only from a single source." The first situation involves instances where an LEA has an existing technology infrastructure or instructional framework and requires specific hardware or software; the second situation involves instances where schools engage in pilot trials for educational technologies or instructional strategies or materials and want to "scale up" the piloted product.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Generally, procurement by noncompetitive proposals is procurement through solicitation of a proposal from only one source. The use of this procurement method is permitted under very limited circumstances, but one basis for an authorized sole source contract is when the item is available only from a single source (</w:t>
      </w:r>
      <w:hyperlink r:id="rId18" w:history="1">
        <w:r>
          <w:rPr>
            <w:rFonts w:ascii="arial" w:eastAsia="arial" w:hAnsi="arial" w:cs="arial"/>
            <w:b w:val="0"/>
            <w:i/>
            <w:strike w:val="0"/>
            <w:noProof w:val="0"/>
            <w:color w:val="0077CC"/>
            <w:position w:val="0"/>
            <w:sz w:val="20"/>
            <w:u w:val="single"/>
            <w:vertAlign w:val="baseline"/>
          </w:rPr>
          <w:t>2 CFR 200.320(f)(1)</w:t>
        </w:r>
      </w:hyperlink>
      <w:r>
        <w:rPr>
          <w:rFonts w:ascii="arial" w:eastAsia="arial" w:hAnsi="arial" w:cs="arial"/>
          <w:b w:val="0"/>
          <w:i w:val="0"/>
          <w:strike w:val="0"/>
          <w:noProof w:val="0"/>
          <w:color w:val="000000"/>
          <w:position w:val="0"/>
          <w:sz w:val="20"/>
          <w:u w:val="none"/>
          <w:vertAlign w:val="baseline"/>
        </w:rPr>
        <w:t>). If particular software or hardware is required because of an LEA's existing technology infrastructure or instructional framework and the hardware or software is truly only available from one source, noncompetitive procurement may be appropriate. The LEA must maintain records documenting the rationale for why sole sourcing was used (</w:t>
      </w:r>
      <w:hyperlink r:id="rId14" w:history="1">
        <w:r>
          <w:rPr>
            <w:rFonts w:ascii="arial" w:eastAsia="arial" w:hAnsi="arial" w:cs="arial"/>
            <w:b w:val="0"/>
            <w:i/>
            <w:strike w:val="0"/>
            <w:noProof w:val="0"/>
            <w:color w:val="0077CC"/>
            <w:position w:val="0"/>
            <w:sz w:val="20"/>
            <w:u w:val="single"/>
            <w:vertAlign w:val="baseline"/>
          </w:rPr>
          <w:t>2 CFR 200.318(i)</w:t>
        </w:r>
      </w:hyperlink>
      <w:r>
        <w:rPr>
          <w:rFonts w:ascii="arial" w:eastAsia="arial" w:hAnsi="arial" w:cs="arial"/>
          <w:b w:val="0"/>
          <w:i w:val="0"/>
          <w:strike w:val="0"/>
          <w:noProof w:val="0"/>
          <w:color w:val="000000"/>
          <w:position w:val="0"/>
          <w:sz w:val="20"/>
          <w:u w:val="none"/>
          <w:vertAlign w:val="baseline"/>
        </w:rPr>
        <w:t xml:space="preserve">). If the desired software or hardware is available from more than one vendor, the LEA must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as described in </w:t>
      </w:r>
      <w:hyperlink r:id="rId18" w:history="1">
        <w:r>
          <w:rPr>
            <w:rFonts w:ascii="arial" w:eastAsia="arial" w:hAnsi="arial" w:cs="arial"/>
            <w:b w:val="0"/>
            <w:i/>
            <w:strike w:val="0"/>
            <w:noProof w:val="0"/>
            <w:color w:val="0077CC"/>
            <w:position w:val="0"/>
            <w:sz w:val="20"/>
            <w:u w:val="single"/>
            <w:vertAlign w:val="baseline"/>
          </w:rPr>
          <w:t>2 CFR 200.320(d)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LEAs that engage in pilot trials of educational technologies or instructional materials that then wish to "scale up" are not exempted from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procurement. Procurement transactions must be conducted in a manner providing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described in </w:t>
      </w:r>
      <w:hyperlink r:id="rId17" w:history="1">
        <w:r>
          <w:rPr>
            <w:rFonts w:ascii="arial" w:eastAsia="arial" w:hAnsi="arial" w:cs="arial"/>
            <w:b w:val="0"/>
            <w:i/>
            <w:strike w:val="0"/>
            <w:noProof w:val="0"/>
            <w:color w:val="0077CC"/>
            <w:position w:val="0"/>
            <w:sz w:val="20"/>
            <w:u w:val="single"/>
            <w:vertAlign w:val="baseline"/>
          </w:rPr>
          <w:t>2 CFR 200.319</w:t>
        </w:r>
      </w:hyperlink>
      <w:r>
        <w:rPr>
          <w:rFonts w:ascii="arial" w:eastAsia="arial" w:hAnsi="arial" w:cs="arial"/>
          <w:b w:val="0"/>
          <w:i w:val="0"/>
          <w:strike w:val="0"/>
          <w:noProof w:val="0"/>
          <w:color w:val="000000"/>
          <w:position w:val="0"/>
          <w:sz w:val="20"/>
          <w:u w:val="none"/>
          <w:vertAlign w:val="baseline"/>
        </w:rPr>
        <w:t xml:space="preserve">. If an LEA wants to experiment with a new educational technology or instructional strategy or material, it may do so without violating conflict of interest requirements by holding an open procurement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identifying the specifications for the technology, strategy, or material and stating the initial contract would be for a pilot of that product with an option to "scale up" the product if the pilot proves successful.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commenter raised concerns regarding the cost and efficiency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required under </w:t>
      </w:r>
      <w:hyperlink r:id="rId18" w:history="1">
        <w:r>
          <w:rPr>
            <w:rFonts w:ascii="arial" w:eastAsia="arial" w:hAnsi="arial" w:cs="arial"/>
            <w:b w:val="0"/>
            <w:i/>
            <w:strike w:val="0"/>
            <w:noProof w:val="0"/>
            <w:color w:val="0077CC"/>
            <w:position w:val="0"/>
            <w:sz w:val="20"/>
            <w:u w:val="single"/>
            <w:vertAlign w:val="baseline"/>
          </w:rPr>
          <w:t>2 CFR 200.320</w:t>
        </w:r>
      </w:hyperlink>
      <w:r>
        <w:rPr>
          <w:rFonts w:ascii="arial" w:eastAsia="arial" w:hAnsi="arial" w:cs="arial"/>
          <w:b w:val="0"/>
          <w:i w:val="0"/>
          <w:strike w:val="0"/>
          <w:noProof w:val="0"/>
          <w:color w:val="000000"/>
          <w:position w:val="0"/>
          <w:sz w:val="20"/>
          <w:u w:val="none"/>
          <w:vertAlign w:val="baseline"/>
        </w:rPr>
        <w:t>, noting that it would be more cost effective for the LEA to perform a cost analysis rather than use a Request for Proposal (RFP) process. The commenter encouraged the Department to allow for instances when the small purchase procedures could be used for procurements that exceed the Simplified Acquisition Threshold, including when the item is a commercially available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has allowed for limited instances when small purchase procedures may be used for procurements that exceed the simplified acquisition threshold. These limited instances are specified in a section in EDGAR that was established in 2013, </w:t>
      </w:r>
      <w:hyperlink r:id="rId19" w:history="1">
        <w:r>
          <w:rPr>
            <w:rFonts w:ascii="arial" w:eastAsia="arial" w:hAnsi="arial" w:cs="arial"/>
            <w:b w:val="0"/>
            <w:i/>
            <w:strike w:val="0"/>
            <w:noProof w:val="0"/>
            <w:color w:val="0077CC"/>
            <w:position w:val="0"/>
            <w:sz w:val="20"/>
            <w:u w:val="single"/>
            <w:vertAlign w:val="baseline"/>
          </w:rPr>
          <w:t>34 CFR 75.135</w:t>
        </w:r>
      </w:hyperlink>
      <w:r>
        <w:rPr>
          <w:rFonts w:ascii="arial" w:eastAsia="arial" w:hAnsi="arial" w:cs="arial"/>
          <w:b w:val="0"/>
          <w:i w:val="0"/>
          <w:strike w:val="0"/>
          <w:noProof w:val="0"/>
          <w:color w:val="000000"/>
          <w:position w:val="0"/>
          <w:sz w:val="20"/>
          <w:u w:val="none"/>
          <w:vertAlign w:val="baseline"/>
        </w:rPr>
        <w:t xml:space="preserve">, which authorizes discretionary grant applicants to use the informal small purchase procedures to procure evaluation service providers and providers of any other service that is essential to the grant, provided that the service provider is identified in the grant application. The service provider must be needed to meet a statutory, regulatory, or priority requirement related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See the final rulemaking document, published at </w:t>
      </w:r>
      <w:hyperlink r:id="rId20" w:history="1">
        <w:r>
          <w:rPr>
            <w:rFonts w:ascii="arial" w:eastAsia="arial" w:hAnsi="arial" w:cs="arial"/>
            <w:b w:val="0"/>
            <w:i/>
            <w:strike w:val="0"/>
            <w:noProof w:val="0"/>
            <w:color w:val="0077CC"/>
            <w:position w:val="0"/>
            <w:sz w:val="20"/>
            <w:u w:val="single"/>
            <w:vertAlign w:val="baseline"/>
          </w:rPr>
          <w:t>78 FR 49352,</w:t>
        </w:r>
      </w:hyperlink>
      <w:r>
        <w:rPr>
          <w:rFonts w:ascii="arial" w:eastAsia="arial" w:hAnsi="arial" w:cs="arial"/>
          <w:b w:val="0"/>
          <w:i w:val="0"/>
          <w:strike w:val="0"/>
          <w:noProof w:val="0"/>
          <w:color w:val="000000"/>
          <w:position w:val="0"/>
          <w:sz w:val="20"/>
          <w:u w:val="none"/>
          <w:vertAlign w:val="baseline"/>
        </w:rPr>
        <w:t xml:space="preserve"> August 13, 2013, for a fuller discussion of the requirements in § 75.135. These limited exceptions do </w:t>
      </w:r>
      <w:r>
        <w:rPr>
          <w:rFonts w:ascii="arial" w:eastAsia="arial" w:hAnsi="arial" w:cs="arial"/>
          <w:b/>
          <w:i w:val="0"/>
          <w:strike w:val="0"/>
          <w:noProof w:val="0"/>
          <w:color w:val="000000"/>
          <w:position w:val="0"/>
          <w:sz w:val="20"/>
          <w:u w:val="none"/>
          <w:vertAlign w:val="baseline"/>
        </w:rPr>
        <w:t> [*67263] </w:t>
      </w:r>
      <w:r>
        <w:rPr>
          <w:rFonts w:ascii="arial" w:eastAsia="arial" w:hAnsi="arial" w:cs="arial"/>
          <w:b w:val="0"/>
          <w:i w:val="0"/>
          <w:strike w:val="0"/>
          <w:noProof w:val="0"/>
          <w:color w:val="000000"/>
          <w:position w:val="0"/>
          <w:sz w:val="20"/>
          <w:u w:val="none"/>
          <w:vertAlign w:val="baseline"/>
        </w:rPr>
        <w:t xml:space="preserve"> not include allowing the use of small purchase procedures just because an item is a commercial (off the self) product and not one that is custom-built based on unique specifications.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commenter sought clarification from the Department on whether or not price comparison under </w:t>
      </w:r>
      <w:hyperlink r:id="rId21" w:history="1">
        <w:r>
          <w:rPr>
            <w:rFonts w:ascii="arial" w:eastAsia="arial" w:hAnsi="arial" w:cs="arial"/>
            <w:b w:val="0"/>
            <w:i/>
            <w:strike w:val="0"/>
            <w:noProof w:val="0"/>
            <w:color w:val="0077CC"/>
            <w:position w:val="0"/>
            <w:sz w:val="20"/>
            <w:u w:val="single"/>
            <w:vertAlign w:val="baseline"/>
          </w:rPr>
          <w:t>2 CFR 200.323</w:t>
        </w:r>
      </w:hyperlink>
      <w:r>
        <w:rPr>
          <w:rFonts w:ascii="arial" w:eastAsia="arial" w:hAnsi="arial" w:cs="arial"/>
          <w:b w:val="0"/>
          <w:i w:val="0"/>
          <w:strike w:val="0"/>
          <w:noProof w:val="0"/>
          <w:color w:val="000000"/>
          <w:position w:val="0"/>
          <w:sz w:val="20"/>
          <w:u w:val="none"/>
          <w:vertAlign w:val="baseline"/>
        </w:rPr>
        <w:t xml:space="preserve"> could be considered a form of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such that a non-federal entity would not be required to negotiated price as a separate element.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Price comparison is not a form of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would exempt a non-federal entity from negotiating profit as a separate element of the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commenter sought clarification on the definition of "procurement" for determining whether or not the transaction meets the small purchase or simplified acquisition threshold.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word "procurement" is used consistently throughout the Uniform Guidance and the Department does not intend to use that term differently in its implementation of the Uniform Guidance. The simplified acquisition threshold is the "dollar amount below which a non-Federal entity may purchase property or services using small purchase methods" (</w:t>
      </w:r>
      <w:hyperlink r:id="rId22" w:history="1">
        <w:r>
          <w:rPr>
            <w:rFonts w:ascii="arial" w:eastAsia="arial" w:hAnsi="arial" w:cs="arial"/>
            <w:b w:val="0"/>
            <w:i/>
            <w:strike w:val="0"/>
            <w:noProof w:val="0"/>
            <w:color w:val="0077CC"/>
            <w:position w:val="0"/>
            <w:sz w:val="20"/>
            <w:u w:val="single"/>
            <w:vertAlign w:val="baseline"/>
          </w:rPr>
          <w:t>2 CFR 200.88</w:t>
        </w:r>
      </w:hyperlink>
      <w:r>
        <w:rPr>
          <w:rFonts w:ascii="arial" w:eastAsia="arial" w:hAnsi="arial" w:cs="arial"/>
          <w:b w:val="0"/>
          <w:i w:val="0"/>
          <w:strike w:val="0"/>
          <w:noProof w:val="0"/>
          <w:color w:val="000000"/>
          <w:position w:val="0"/>
          <w:sz w:val="20"/>
          <w:u w:val="none"/>
          <w:vertAlign w:val="baseline"/>
        </w:rPr>
        <w:t xml:space="preserve">). If a non-Federal entity seeks to acquire property or services that have an anticipated dollar value exceeding the simplified acquisition threshold, the non-Federal entity must use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 cannot use small purchase procedures unless the procurement meets the requirements of </w:t>
      </w:r>
      <w:hyperlink r:id="rId19" w:history="1">
        <w:r>
          <w:rPr>
            <w:rFonts w:ascii="arial" w:eastAsia="arial" w:hAnsi="arial" w:cs="arial"/>
            <w:b w:val="0"/>
            <w:i/>
            <w:strike w:val="0"/>
            <w:noProof w:val="0"/>
            <w:color w:val="0077CC"/>
            <w:position w:val="0"/>
            <w:sz w:val="20"/>
            <w:u w:val="single"/>
            <w:vertAlign w:val="baseline"/>
          </w:rPr>
          <w:t>34 CFR 75.135</w:t>
        </w:r>
      </w:hyperlink>
      <w:r>
        <w:rPr>
          <w:rFonts w:ascii="arial" w:eastAsia="arial" w:hAnsi="arial" w:cs="arial"/>
          <w:b w:val="0"/>
          <w:i w:val="0"/>
          <w:strike w:val="0"/>
          <w:noProof w:val="0"/>
          <w:color w:val="000000"/>
          <w:position w:val="0"/>
          <w:sz w:val="20"/>
          <w:u w:val="none"/>
          <w:vertAlign w:val="baseline"/>
        </w:rPr>
        <w:t xml:space="preserve">. Procurement actions must not be split into separate procurements to avoid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thresholds.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all the comments regarding the IFR, the Secretary makes no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adopting the Uniform Guidance that were published on December 19, 2014 except for the two technical amendments discussed earlier in this preamble.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action is not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reviewed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issuing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on a reasoned determination that their benefits justify their costs. In choosing among alternative regulatory approaches, we selected those approaches that maximize net benefits. Based on the analysis that follows, the Department believes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does not unduly interfere with State, local, or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associated with this regulatory action are those resulting from statutory requirements and those we have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contain any information collection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subject to the requirements of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provides early notification of our specific plans and actions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Assessment of Educational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IFR we requested comments on whether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response to the IFR and on our review, we have determined that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transmission of information that any other agency or authority of the United States gathers or makes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w:t>
      </w:r>
      <w:r>
        <w:rPr>
          <w:rFonts w:ascii="arial" w:eastAsia="arial" w:hAnsi="arial" w:cs="arial"/>
          <w:b/>
          <w:i w:val="0"/>
          <w:strike w:val="0"/>
          <w:noProof w:val="0"/>
          <w:color w:val="000000"/>
          <w:position w:val="0"/>
          <w:sz w:val="20"/>
          <w:u w:val="none"/>
          <w:vertAlign w:val="baseline"/>
        </w:rPr>
        <w:t> [*67264] </w:t>
      </w:r>
      <w:r>
        <w:rPr>
          <w:rFonts w:ascii="arial" w:eastAsia="arial" w:hAnsi="arial" w:cs="arial"/>
          <w:b w:val="0"/>
          <w:i w:val="0"/>
          <w:strike w:val="0"/>
          <w:noProof w:val="0"/>
          <w:color w:val="000000"/>
          <w:position w:val="0"/>
          <w:sz w:val="20"/>
          <w:u w:val="none"/>
          <w:vertAlign w:val="baseline"/>
        </w:rPr>
        <w:t xml:space="preserve">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2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2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27,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Arne Duncan,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Education.</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the reasons discussed in the preamble, and under the authority of </w:t>
      </w:r>
      <w:hyperlink r:id="rId2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the authorities listed below, the interim rule amending chapter XXXIV of 2 CFR and subtitle A and chapter I of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was published at </w:t>
      </w:r>
      <w:hyperlink r:id="rId11" w:history="1">
        <w:r>
          <w:rPr>
            <w:rFonts w:ascii="arial" w:eastAsia="arial" w:hAnsi="arial" w:cs="arial"/>
            <w:b w:val="0"/>
            <w:i/>
            <w:strike w:val="0"/>
            <w:noProof w:val="0"/>
            <w:color w:val="0077CC"/>
            <w:position w:val="0"/>
            <w:sz w:val="20"/>
            <w:u w:val="single"/>
            <w:vertAlign w:val="baseline"/>
          </w:rPr>
          <w:t>79 FR 75871</w:t>
        </w:r>
      </w:hyperlink>
      <w:r>
        <w:rPr>
          <w:rFonts w:ascii="arial" w:eastAsia="arial" w:hAnsi="arial" w:cs="arial"/>
          <w:b w:val="0"/>
          <w:i w:val="0"/>
          <w:strike w:val="0"/>
          <w:noProof w:val="0"/>
          <w:color w:val="000000"/>
          <w:position w:val="0"/>
          <w:sz w:val="20"/>
          <w:u w:val="none"/>
          <w:vertAlign w:val="baseline"/>
        </w:rPr>
        <w:t xml:space="preserve"> on December 19, 2014, is adopted as a final rule with the following changes:</w:t>
      </w:r>
    </w:p>
    <w:p>
      <w:pPr>
        <w:numPr>
          <w:numId w:val="1"/>
        </w:numPr>
        <w:spacing w:before="120" w:line="240" w:lineRule="atLeast"/>
      </w:pPr>
    </w:p>
    <w:p>
      <w:pPr>
        <w:numPr>
          <w:numId w:val="2"/>
        </w:numPr>
        <w:spacing w:before="120" w:line="240" w:lineRule="atLeast"/>
      </w:pPr>
      <w:r>
        <w:rPr>
          <w:b/>
          <w:i w:val="0"/>
          <w:sz w:val="20"/>
        </w:rPr>
        <w:t>retary, Department of Education</w:t>
      </w:r>
    </w:p>
    <w:p>
      <w:pPr>
        <w:numPr>
          <w:numId w:val="3"/>
        </w:numPr>
        <w:spacing w:before="120" w:line="240" w:lineRule="atLeast"/>
      </w:pPr>
      <w:r>
        <w:rPr>
          <w:b/>
          <w:i w:val="0"/>
          <w:sz w:val="20"/>
        </w:rPr>
        <w: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75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unless otherwise noted.</w:t>
      </w:r>
    </w:p>
    <w:p>
      <w:pPr>
        <w:numPr>
          <w:numId w:val="5"/>
        </w:numPr>
        <w:spacing w:before="120" w:line="240" w:lineRule="atLeast"/>
      </w:pP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75.135(b) is amended by removing "</w:t>
      </w:r>
      <w:hyperlink r:id="rId16" w:history="1">
        <w:r>
          <w:rPr>
            <w:rFonts w:ascii="arial" w:eastAsia="arial" w:hAnsi="arial" w:cs="arial"/>
            <w:b w:val="0"/>
            <w:i/>
            <w:strike w:val="0"/>
            <w:noProof w:val="0"/>
            <w:color w:val="0077CC"/>
            <w:position w:val="0"/>
            <w:sz w:val="20"/>
            <w:u w:val="single"/>
            <w:vertAlign w:val="baseline"/>
          </w:rPr>
          <w:t>34 CFR 80.36(d)(1)</w:t>
        </w:r>
      </w:hyperlink>
      <w:r>
        <w:rPr>
          <w:rFonts w:ascii="arial" w:eastAsia="arial" w:hAnsi="arial" w:cs="arial"/>
          <w:b w:val="0"/>
          <w:i w:val="0"/>
          <w:strike w:val="0"/>
          <w:noProof w:val="0"/>
          <w:color w:val="000000"/>
          <w:position w:val="0"/>
          <w:sz w:val="20"/>
          <w:u w:val="none"/>
          <w:vertAlign w:val="baseline"/>
        </w:rPr>
        <w:t>," and adding in its place "</w:t>
      </w:r>
      <w:hyperlink r:id="rId18" w:history="1">
        <w:r>
          <w:rPr>
            <w:rFonts w:ascii="arial" w:eastAsia="arial" w:hAnsi="arial" w:cs="arial"/>
            <w:b w:val="0"/>
            <w:i/>
            <w:strike w:val="0"/>
            <w:noProof w:val="0"/>
            <w:color w:val="0077CC"/>
            <w:position w:val="0"/>
            <w:sz w:val="20"/>
            <w:u w:val="single"/>
            <w:vertAlign w:val="baseline"/>
          </w:rPr>
          <w:t>2 CFR 200.320(b)</w:t>
        </w:r>
      </w:hyperlink>
      <w:r>
        <w:rPr>
          <w:rFonts w:ascii="arial" w:eastAsia="arial" w:hAnsi="arial" w:cs="arial"/>
          <w:b w:val="0"/>
          <w:i w:val="0"/>
          <w:strike w:val="0"/>
          <w:noProof w:val="0"/>
          <w:color w:val="000000"/>
          <w:position w:val="0"/>
          <w:sz w:val="20"/>
          <w:u w:val="none"/>
          <w:vertAlign w:val="baseline"/>
        </w:rPr>
        <w:t>,".</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75.263 is added to read as follows.</w:t>
      </w:r>
    </w:p>
    <w:p>
      <w:pPr>
        <w:numPr>
          <w:numId w:val="7"/>
        </w:numPr>
        <w:spacing w:before="120" w:line="240" w:lineRule="atLeast"/>
      </w:pPr>
      <w:r>
        <w:rPr>
          <w:b/>
          <w:i w:val="0"/>
          <w:sz w:val="20"/>
        </w:rPr>
        <w:t>er of approval.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grantee may, notwithstanding any requirement in 2 CFR part 200, incur pre-award costs as specified in </w:t>
      </w:r>
      <w:hyperlink r:id="rId26" w:history="1">
        <w:r>
          <w:rPr>
            <w:rFonts w:ascii="arial" w:eastAsia="arial" w:hAnsi="arial" w:cs="arial"/>
            <w:b w:val="0"/>
            <w:i/>
            <w:strike w:val="0"/>
            <w:noProof w:val="0"/>
            <w:color w:val="0077CC"/>
            <w:position w:val="0"/>
            <w:sz w:val="20"/>
            <w:u w:val="single"/>
            <w:vertAlign w:val="baseline"/>
          </w:rPr>
          <w:t>2 CFR 200.308(d)(1)</w:t>
        </w:r>
      </w:hyperlink>
      <w:r>
        <w:rPr>
          <w:rFonts w:ascii="arial" w:eastAsia="arial" w:hAnsi="arial" w:cs="arial"/>
          <w:b w:val="0"/>
          <w:i w:val="0"/>
          <w:strike w:val="0"/>
          <w:noProof w:val="0"/>
          <w:color w:val="000000"/>
          <w:position w:val="0"/>
          <w:sz w:val="20"/>
          <w:u w:val="none"/>
          <w:vertAlign w:val="baseline"/>
        </w:rPr>
        <w:t xml:space="preserve"> unless--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other than 2 CFR part 200 or a statute prohibit these costs; or</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conditions of the award prohibit these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(Authority: </w:t>
      </w:r>
      <w:hyperlink r:id="rId9" w:history="1">
        <w:r>
          <w:rPr>
            <w:rFonts w:ascii="arial" w:eastAsia="arial" w:hAnsi="arial" w:cs="arial"/>
            <w:b w:val="0"/>
            <w:i/>
            <w:strike w:val="0"/>
            <w:noProof w:val="0"/>
            <w:color w:val="0077CC"/>
            <w:position w:val="0"/>
            <w:sz w:val="20"/>
            <w:u w:val="single"/>
            <w:vertAlign w:val="baseline"/>
          </w:rPr>
          <w:t>20 U.S.C. 1221e-3</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3474</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2 CFR 200.308(d)(1)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2015-27766 Filed 10-30-15;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December 2,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Phillip Juengst, U.S. Department of Education, 400 Maryland Avenue SW., Room 6056, PCP, Washington, DC 20202-4450. Telephone: (202) 245-8030 or by email: </w:t>
      </w:r>
      <w:hyperlink r:id="rId27" w:history="1">
        <w:r>
          <w:rPr>
            <w:rFonts w:ascii="arial" w:eastAsia="arial" w:hAnsi="arial" w:cs="arial"/>
            <w:b w:val="0"/>
            <w:i/>
            <w:strike w:val="0"/>
            <w:noProof w:val="0"/>
            <w:color w:val="0077CC"/>
            <w:position w:val="0"/>
            <w:sz w:val="20"/>
            <w:u w:val="single"/>
            <w:vertAlign w:val="baseline"/>
          </w:rPr>
          <w:t>phillip.juengst@ed.gov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67261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Title 34-- Educ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Subtitle A-- Office of the Se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PART 75-- DIRECT GRANT PROGRA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 75.13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 75.263 Pre-award costs; wa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NP1-NRF4-4163-00000-00&amp;context=" TargetMode="External" /><Relationship Id="rId11" Type="http://schemas.openxmlformats.org/officeDocument/2006/relationships/hyperlink" Target="https://advance.lexis.com/api/document?collection=administrative-codes&amp;id=urn:contentItem:5DW5-3600-006W-82TX-00000-00&amp;context=" TargetMode="External" /><Relationship Id="rId12" Type="http://schemas.openxmlformats.org/officeDocument/2006/relationships/hyperlink" Target="https://advance.lexis.com/api/document?collection=administrative-codes&amp;id=urn:contentItem:5F2R-48R0-008G-Y3MJ-00000-00&amp;context=" TargetMode="External" /><Relationship Id="rId13" Type="http://schemas.openxmlformats.org/officeDocument/2006/relationships/hyperlink" Target="https://advance.lexis.com/api/document?collection=administrative-codes&amp;id=urn:contentItem:5F2R-48R0-008G-Y3MW-00000-00&amp;context=" TargetMode="External" /><Relationship Id="rId14" Type="http://schemas.openxmlformats.org/officeDocument/2006/relationships/hyperlink" Target="https://advance.lexis.com/api/document?collection=administrative-codes&amp;id=urn:contentItem:5GM7-79Y0-008G-Y1DT-00000-00&amp;context=" TargetMode="External" /><Relationship Id="rId15" Type="http://schemas.openxmlformats.org/officeDocument/2006/relationships/hyperlink" Target="https://advance.lexis.com/api/document?collection=administrative-codes&amp;id=urn:contentItem:5GWN-3J70-006W-80WJ-00000-00&amp;context=" TargetMode="External" /><Relationship Id="rId16" Type="http://schemas.openxmlformats.org/officeDocument/2006/relationships/hyperlink" Target="https://advance.lexis.com/api/document?collection=administrative-codes&amp;id=urn:contentItem:5G9C-N1B0-008H-03TP-00000-00&amp;context=" TargetMode="External" /><Relationship Id="rId17" Type="http://schemas.openxmlformats.org/officeDocument/2006/relationships/hyperlink" Target="https://advance.lexis.com/api/document?collection=administrative-codes&amp;id=urn:contentItem:5F34-Y1P0-008G-Y12V-00000-00&amp;context=" TargetMode="External" /><Relationship Id="rId18" Type="http://schemas.openxmlformats.org/officeDocument/2006/relationships/hyperlink" Target="https://advance.lexis.com/api/document?collection=administrative-codes&amp;id=urn:contentItem:5H0W-0PY0-008G-Y451-00000-00&amp;context=" TargetMode="External" /><Relationship Id="rId19" Type="http://schemas.openxmlformats.org/officeDocument/2006/relationships/hyperlink" Target="https://advance.lexis.com/api/document?collection=administrative-codes&amp;id=urn:contentItem:5HC7-R9V0-008H-01VN-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941-3H30-006W-82T3-00000-00&amp;context=" TargetMode="External" /><Relationship Id="rId21" Type="http://schemas.openxmlformats.org/officeDocument/2006/relationships/hyperlink" Target="https://advance.lexis.com/api/document?collection=administrative-codes&amp;id=urn:contentItem:5F2R-48R0-008G-Y3MS-00000-00&amp;context=" TargetMode="External" /><Relationship Id="rId22" Type="http://schemas.openxmlformats.org/officeDocument/2006/relationships/hyperlink" Target="https://advance.lexis.com/api/document?collection=administrative-codes&amp;id=urn:contentItem:5F2R-48R0-008G-Y3JK-00000-00&amp;context=" TargetMode="External" /><Relationship Id="rId23" Type="http://schemas.openxmlformats.org/officeDocument/2006/relationships/hyperlink" Target="http://www.gpo.gov/fdsys" TargetMode="External" /><Relationship Id="rId24" Type="http://schemas.openxmlformats.org/officeDocument/2006/relationships/hyperlink" Target="http://www.federalregister.gov" TargetMode="External" /><Relationship Id="rId25" Type="http://schemas.openxmlformats.org/officeDocument/2006/relationships/hyperlink" Target="https://advance.lexis.com/api/document?collection=statutes-legislation&amp;id=urn:contentItem:4YF7-GMK1-NRF4-409K-00000-00&amp;context=" TargetMode="External" /><Relationship Id="rId26" Type="http://schemas.openxmlformats.org/officeDocument/2006/relationships/hyperlink" Target="https://advance.lexis.com/api/document?collection=administrative-codes&amp;id=urn:contentItem:5H0W-0PY0-008G-Y450-00000-00&amp;context=" TargetMode="External" /><Relationship Id="rId27" Type="http://schemas.openxmlformats.org/officeDocument/2006/relationships/hyperlink" Target="mailto:phillip.juengst@ed.gov" TargetMode="Externa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8X-BXS0-006W-81HK-00000-00&amp;context=" TargetMode="External" /><Relationship Id="rId8" Type="http://schemas.openxmlformats.org/officeDocument/2006/relationships/hyperlink" Target="https://advance.lexis.com/api/document?collection=administrative-codes&amp;id=urn:contentItem:5F34-Y1P0-008G-Y123-00000-00&amp;context=" TargetMode="External" /><Relationship Id="rId9" Type="http://schemas.openxmlformats.org/officeDocument/2006/relationships/hyperlink" Target="https://advance.lexis.com/api/document?collection=statutes-legislation&amp;id=urn:contentItem:4YF7-GK31-NRF4-41G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67261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71560342</vt:lpwstr>
  </property>
  <property fmtid="{D5CDD505-2E9C-101B-9397-08002B2CF9AE}" pid="3" name="LADocCount">
    <vt:lpwstr>1</vt:lpwstr>
  </property>
  <property fmtid="{D5CDD505-2E9C-101B-9397-08002B2CF9AE}" pid="4" name="UserPermID">
    <vt:lpwstr>urn:user:PA185916758</vt:lpwstr>
  </property>
</Properties>
</file>