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67672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212, Tuesday, November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67672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the Secretary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Open Licensing Requirement for Direct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the Secretary of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ED-2015-OS-0105]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1894-AA07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CFR Part 3474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Uniform Administrative Requirements, Cost Principles, and Audit Requirements for Federal Awards in order to require that all Department grantees awarded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openly license to the public all copyrightable intellectual property created with Department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changes would increase the Department's ability to be more strategic with limited resources, broadening the impact of its investments by allowing stakeholders, such as local educational agencies (LEAs), State educational agencies (SEAs), institutions of higher education (IHEs), and other entities, to benefit from these investments, even if they are not themselves recipients of Department funds. An open licensing requirement would also allow the Department to sustain innovations beyond the grant period by encouraging subject matter experts and users to adapt, update, and build upon grant products, stimulating quality and innovation in the development of educational resources. Finally, the proposed requirement would promote equity and access to Department-funded technology and materials and increase transparency and accountability for the Department and its grantees.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Issues Open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your general comments, we are particularly interested in your feedback on the following questions: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Department require that copyrightable works be openly licensed prior to the end of the grant period as opposed to after the grant period is over? If yes, what impact would this have on the quality of the final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Department include a requirement that grantees distribute copyrightable works created under a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If yes, what suggestions do you have on how the Department should implement such a requirement?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further activities would increase public knowledge about the materials and resources that are created using the Department's grant funds and broaden their dissemination?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technical assistance should the Department provide to grantees to promote broad dissemination of their grant-funded intellectual property?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experiences do you have implementing requirements of open licensing policy with other Federal agencies? Please share your experiences with these different approaches, including lessons learned and recommendations that might be related to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6W100, 400 Maryland Avenue SW., Washington, DC, between the hours of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val="0"/>
          <w:strike w:val="0"/>
          <w:noProof w:val="0"/>
          <w:color w:val="000000"/>
          <w:position w:val="0"/>
          <w:sz w:val="20"/>
          <w:u w:val="none"/>
          <w:vertAlign w:val="baseline"/>
        </w:rPr>
        <w:t> [*67673] </w:t>
      </w:r>
      <w:r>
        <w:rPr>
          <w:rFonts w:ascii="arial" w:eastAsia="arial" w:hAnsi="arial" w:cs="arial"/>
          <w:b w:val="0"/>
          <w:i w:val="0"/>
          <w:strike w:val="0"/>
          <w:noProof w:val="0"/>
          <w:color w:val="000000"/>
          <w:position w:val="0"/>
          <w:sz w:val="20"/>
          <w:u w:val="none"/>
          <w:vertAlign w:val="baseline"/>
        </w:rPr>
        <w:t xml:space="preserve">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related to copyrightable works created by Department grant funds have continually evolved with the goal of maximizing the dissemination of these works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3, 1980 </w:t>
      </w:r>
      <w:hyperlink r:id="rId8" w:history="1">
        <w:r>
          <w:rPr>
            <w:rFonts w:ascii="arial" w:eastAsia="arial" w:hAnsi="arial" w:cs="arial"/>
            <w:b w:val="0"/>
            <w:i/>
            <w:strike w:val="0"/>
            <w:noProof w:val="0"/>
            <w:color w:val="0077CC"/>
            <w:position w:val="0"/>
            <w:sz w:val="20"/>
            <w:u w:val="single"/>
            <w:vertAlign w:val="baseline"/>
          </w:rPr>
          <w:t>(45 FR 22494, 22550),</w:t>
        </w:r>
      </w:hyperlink>
      <w:r>
        <w:rPr>
          <w:rFonts w:ascii="arial" w:eastAsia="arial" w:hAnsi="arial" w:cs="arial"/>
          <w:b w:val="0"/>
          <w:i w:val="0"/>
          <w:strike w:val="0"/>
          <w:noProof w:val="0"/>
          <w:color w:val="000000"/>
          <w:position w:val="0"/>
          <w:sz w:val="20"/>
          <w:u w:val="none"/>
          <w:vertAlign w:val="baseline"/>
        </w:rPr>
        <w:t xml:space="preserve"> the Department implemented a new policy that allowed grantees to retain unlimited rights to copyright and royalty income. Simultaneously, the Department retained a royalty-free, non-exclusive, and irrevocable right to reproduce, publish, or otherwise use, and to authorize others to use without cost, works created with Department grant funds for Federal Government purposes </w:t>
      </w:r>
      <w:hyperlink r:id="rId8" w:history="1">
        <w:r>
          <w:rPr>
            <w:rFonts w:ascii="arial" w:eastAsia="arial" w:hAnsi="arial" w:cs="arial"/>
            <w:b w:val="0"/>
            <w:i/>
            <w:strike w:val="0"/>
            <w:noProof w:val="0"/>
            <w:color w:val="0077CC"/>
            <w:position w:val="0"/>
            <w:sz w:val="20"/>
            <w:u w:val="single"/>
            <w:vertAlign w:val="baseline"/>
          </w:rPr>
          <w:t>(45 FR 22593).</w:t>
        </w:r>
      </w:hyperlink>
      <w:r>
        <w:rPr>
          <w:rFonts w:ascii="arial" w:eastAsia="arial" w:hAnsi="arial" w:cs="arial"/>
          <w:b w:val="0"/>
          <w:i w:val="0"/>
          <w:strike w:val="0"/>
          <w:noProof w:val="0"/>
          <w:color w:val="000000"/>
          <w:position w:val="0"/>
          <w:sz w:val="20"/>
          <w:u w:val="none"/>
          <w:vertAlign w:val="baseline"/>
        </w:rPr>
        <w:t xml:space="preserve"> The purpose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to create a policy that was conducive to disseminating grant-funded works to the public that was consistent with provisions in OMB Circular A-110.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this final rule was promulgated, the Department thereafter amended part 80 on March 11, 1988 </w:t>
      </w:r>
      <w:hyperlink r:id="rId9" w:history="1">
        <w:r>
          <w:rPr>
            <w:rFonts w:ascii="arial" w:eastAsia="arial" w:hAnsi="arial" w:cs="arial"/>
            <w:b w:val="0"/>
            <w:i/>
            <w:strike w:val="0"/>
            <w:noProof w:val="0"/>
            <w:color w:val="0077CC"/>
            <w:position w:val="0"/>
            <w:sz w:val="20"/>
            <w:u w:val="single"/>
            <w:vertAlign w:val="baseline"/>
          </w:rPr>
          <w:t>(53 FR 8034, 8071),</w:t>
        </w:r>
      </w:hyperlink>
      <w:r>
        <w:rPr>
          <w:rFonts w:ascii="arial" w:eastAsia="arial" w:hAnsi="arial" w:cs="arial"/>
          <w:b w:val="0"/>
          <w:i w:val="0"/>
          <w:strike w:val="0"/>
          <w:noProof w:val="0"/>
          <w:color w:val="000000"/>
          <w:position w:val="0"/>
          <w:sz w:val="20"/>
          <w:u w:val="none"/>
          <w:vertAlign w:val="baseline"/>
        </w:rPr>
        <w:t xml:space="preserve"> and part 74 on July 6, 1994 </w:t>
      </w:r>
      <w:hyperlink r:id="rId10" w:history="1">
        <w:r>
          <w:rPr>
            <w:rFonts w:ascii="arial" w:eastAsia="arial" w:hAnsi="arial" w:cs="arial"/>
            <w:b w:val="0"/>
            <w:i/>
            <w:strike w:val="0"/>
            <w:noProof w:val="0"/>
            <w:color w:val="0077CC"/>
            <w:position w:val="0"/>
            <w:sz w:val="20"/>
            <w:u w:val="single"/>
            <w:vertAlign w:val="baseline"/>
          </w:rPr>
          <w:t>(59 FR 34722, 34733-34),</w:t>
        </w:r>
      </w:hyperlink>
      <w:r>
        <w:rPr>
          <w:rFonts w:ascii="arial" w:eastAsia="arial" w:hAnsi="arial" w:cs="arial"/>
          <w:b w:val="0"/>
          <w:i w:val="0"/>
          <w:strike w:val="0"/>
          <w:noProof w:val="0"/>
          <w:color w:val="000000"/>
          <w:position w:val="0"/>
          <w:sz w:val="20"/>
          <w:u w:val="none"/>
          <w:vertAlign w:val="baseline"/>
        </w:rPr>
        <w:t xml:space="preserve"> to incorporate this copyright policy. These provisions remained in effect until 2014, when the Department removed parts 74 and 80 from title 34 and adopted 2 CFR part 200 </w:t>
      </w:r>
      <w:hyperlink r:id="rId11" w:history="1">
        <w:r>
          <w:rPr>
            <w:rFonts w:ascii="arial" w:eastAsia="arial" w:hAnsi="arial" w:cs="arial"/>
            <w:b w:val="0"/>
            <w:i/>
            <w:strike w:val="0"/>
            <w:noProof w:val="0"/>
            <w:color w:val="0077CC"/>
            <w:position w:val="0"/>
            <w:sz w:val="20"/>
            <w:u w:val="single"/>
            <w:vertAlign w:val="baseline"/>
          </w:rPr>
          <w:t>(79 FR 75871),</w:t>
        </w:r>
      </w:hyperlink>
      <w:r>
        <w:rPr>
          <w:rFonts w:ascii="arial" w:eastAsia="arial" w:hAnsi="arial" w:cs="arial"/>
          <w:b w:val="0"/>
          <w:i w:val="0"/>
          <w:strike w:val="0"/>
          <w:noProof w:val="0"/>
          <w:color w:val="000000"/>
          <w:position w:val="0"/>
          <w:sz w:val="20"/>
          <w:u w:val="none"/>
          <w:vertAlign w:val="baseline"/>
        </w:rPr>
        <w:t xml:space="preserve"> including 200.315(b) which reflects the current policy. The 1988, 1994, and 2014 rulemakings did not substantively alter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wide variety of educational materials created through the Department's discretionary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should be shared more broadly with the public. Even though current policy allows the public to access grant-funded resources for use for Federal Government purposes by seeking permission from the Department, the public rarely requested access to these copyrighted materials, possibly due to administrative barriers, lack of clarity regarding the scope of Federal Government purposes, or lack of information about available products. We believe that removing barriers and clarifying usage rights to these products, including lesson plans, instructional plans, professional development tools, and other teaching and learning resources will benefit the Department's diverse stakeholders and will benefit teaching and learning. These include LEAs, SEAs, IHEs, students, nonprofit educational organizations, and others beyond direct grant recipients. The Department's goal remains to institute a policy that results in broadest and most effective dissemination of grant-funded works to the public, and therefore the Department is proposing to modify this policy to require, with minimal exceptions, that all copyrightable works created under a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be openly licensed.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Regulatory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3474.20 Open Licensing Requirement for Direct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3474.20 would establish an open licensing requirement for copyrightable works created using funds from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Section 3474.20 would require that all Department grantees awarded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openly license to the public all copyrightable intellectual property created with Department grant funds. This requirement would apply to only new copyrightable materials created with Department grant funds and copyrightable modifications made to pre-existing content using Department grant funds awarded after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proposed open licensing requirement would not apply to existing grants or existing copyrightable intellectual property.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apply to grants that provide funding for general operating expenses, grants that provide support to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scholarships, fellowships), or peer-reviewed research publications that arise from scientific research funded, either fully or partially, from grants awarded by the Institute of Education Sciences (Institute) that are already covered by the Institute's existing public access policy, found at </w:t>
      </w:r>
      <w:hyperlink r:id="rId12" w:history="1">
        <w:r>
          <w:rPr>
            <w:rFonts w:ascii="arial" w:eastAsia="arial" w:hAnsi="arial" w:cs="arial"/>
            <w:b w:val="0"/>
            <w:i/>
            <w:strike w:val="0"/>
            <w:noProof w:val="0"/>
            <w:color w:val="0077CC"/>
            <w:position w:val="0"/>
            <w:sz w:val="20"/>
            <w:u w:val="single"/>
            <w:vertAlign w:val="baseline"/>
          </w:rPr>
          <w:t>http://ies.ed.gov/funding/researchaccess.asp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Moreover, the Secretary would retain authority pursuant to </w:t>
      </w:r>
      <w:hyperlink r:id="rId13" w:history="1">
        <w:r>
          <w:rPr>
            <w:rFonts w:ascii="arial" w:eastAsia="arial" w:hAnsi="arial" w:cs="arial"/>
            <w:b w:val="0"/>
            <w:i/>
            <w:strike w:val="0"/>
            <w:noProof w:val="0"/>
            <w:color w:val="0077CC"/>
            <w:position w:val="0"/>
            <w:sz w:val="20"/>
            <w:u w:val="single"/>
            <w:vertAlign w:val="baseline"/>
          </w:rPr>
          <w:t>2 CFR 3474.5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 CFR 200.102</w:t>
        </w:r>
      </w:hyperlink>
      <w:r>
        <w:rPr>
          <w:rFonts w:ascii="arial" w:eastAsia="arial" w:hAnsi="arial" w:cs="arial"/>
          <w:b w:val="0"/>
          <w:i w:val="0"/>
          <w:strike w:val="0"/>
          <w:noProof w:val="0"/>
          <w:color w:val="000000"/>
          <w:position w:val="0"/>
          <w:sz w:val="20"/>
          <w:u w:val="none"/>
          <w:vertAlign w:val="baseline"/>
        </w:rPr>
        <w:t xml:space="preserve"> to authorize exceptions to the open licensing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public to access and use copyrightable intellectual property created with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for any purpose, provided that the user gives attribution to the designated authors or copyright holders of the intellectual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believe that the wide variety of educational materials created through the Department's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should be shared broadly with the public. These products, including lesson plans, instructional plans, professional development tools, and other teaching and learning resources provide benefit to LEAs, SEAs, IHEs, nonprofit educational organizations, and others beyond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recipients. Current Department practice, in combination with Federal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copyright law, may present unnecessary barriers for the public to access these materials. Under current practice, Department grantees retain an "all rights reserved copyright," allowing them to restrict reuse and redistribution of these materials, sometimes resulting in significant cost or administrative burden to the general public for their access. In addition, in general, the Department currently exercises its Federal purpose license in § 200.315(b) only in rare cases where a grantee fails to implement its copyright or prices its product at an unacceptably high cost that educators cannot afford to pay. While the current practice helps make copyrightable work created by grantees more available to educators, we are concerned that the policy fails to make the materials more widely available to all educators, regardless of their resources. For example, in certain instances, grant-funded materials may only be commercially available, requiring the public to incur additional costs for their use. While the Department recognizes that commercial incentives can often encourage the development of high-quality materials, we believe that the public should have access to works created under a Department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with public funds at the lowest cost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3474.20, requires all Department grantees awarded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to openly license to the public all copyrightable intellectual property created with these funds. Open licensing would broaden the impact of ED investments, allowing LEAs, SEAs, IHEs, students, and others beyond direct grant recipients to benefit from the Department's investment. These stakeholders would have free access to and use of all materials produced by grantees, without needing to seek permission from the copyright holder to access such resource for each instance of use or to create derivative works. We believe this access would accelerate innovation and improve quality in education by enabling others to test and build upon Department- </w:t>
      </w:r>
      <w:r>
        <w:rPr>
          <w:rFonts w:ascii="arial" w:eastAsia="arial" w:hAnsi="arial" w:cs="arial"/>
          <w:b/>
          <w:i w:val="0"/>
          <w:strike w:val="0"/>
          <w:noProof w:val="0"/>
          <w:color w:val="000000"/>
          <w:position w:val="0"/>
          <w:sz w:val="20"/>
          <w:u w:val="none"/>
          <w:vertAlign w:val="baseline"/>
        </w:rPr>
        <w:t> [*67674] </w:t>
      </w:r>
      <w:r>
        <w:rPr>
          <w:rFonts w:ascii="arial" w:eastAsia="arial" w:hAnsi="arial" w:cs="arial"/>
          <w:b w:val="0"/>
          <w:i w:val="0"/>
          <w:strike w:val="0"/>
          <w:noProof w:val="0"/>
          <w:color w:val="000000"/>
          <w:position w:val="0"/>
          <w:sz w:val="20"/>
          <w:u w:val="none"/>
          <w:vertAlign w:val="baseline"/>
        </w:rPr>
        <w:t xml:space="preserve"> funded work, and by stimulating a market of derivative works. In addition, access to technology and high-quality materials would promote equity and especially benefit resource-poor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requirement would also increase the Department's ability to be more strategic with limited resources. For example, in some cases, dissemination of openly licensed materials could reduce the need to fund multiple duplicate projects. In other cases, it could encourage diversity and non-duplication in the types of projects receiving similar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an open licensing requirement would improve the quality of educational resources and sustain innovations beyond the grant period by encouraging subject matter experts and other users to build upon the grant products and enriching the grant-funded content. We also expect that an open licensing requirement would stimulate innovation in the development of educational resources by encouraging commercial adaptation and derivatives and supporting large-scale adoption of grant products, even after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nothing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grantee to distribute work that a grantee would be required to openly license under proposed § 3474.20. In the </w:t>
      </w: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section, we include specific questions to help inform us whether such a distribution requirement should be included in the final § 3474.20; or, alternatively, whether we should use non-regulatory approaches such as technical assistance and guidance to help facilitate distribution.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3474.1 Adoption of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3474.1 adopts 2 CFR part 200 but specifically excludes certain provisions from 2 CFR part 200 as being applicable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3474.1 would include, among these exceptions, </w:t>
      </w:r>
      <w:hyperlink r:id="rId15"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However, in proposed § 3474.20(d), we have retained the Federal government's royalty-free, nonexclusive and irrevocable right to reproduce, publish, or otherwise use the work for Federal purposes, and to authorize others to do so, provided through § 200.315(b).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except § 200.315(b) from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 200.315(b) allows a non-Federal entity to copyright certain work developed under a Federal award, which is inconsistent with our proposed open licensing requirement. In order to have a consistent rule for how intellectual property developed with the Department's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is licensed, we need to add § 200.315(b) to the provisions within 2 CFR part 200 that are inapplicable under the Department's Uniform Administrative Requirements, Cost Principles, and Audit Requirements for Federal Awards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retain the Federal government's royalty-free, nonexclusive and irrevocable right to reproduce, publish, or otherwise use the work for Federal purposes, and to authorize others to do so, in order to reserve the right to disseminate certain copyrightable intellectual property created with Department funds, if we determine that such action is the best way to make this content readily available. In the case of State administered or direct formula grant programs not covered by this proposed rule, the Department is exploring additional opportunities to expand dissemination of educational materials produced under those programs and to broaden dissemination of those materials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some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the Department funds the costs of general operating expenses or the costs to provide support to individuals such as through scholarships or fellowship programs. In these cases, the Department's funding covers expenditures incurred to engage in activities not directly associated with the production of products, even though products are sometimes created. The open licensing requirement would not apply to these grantees, though they are encouraged to consider whether an open license would be appropriate or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open licensing requirement also does not apply to peer-reviewed research publications that arise from scientific research funded, either fully or partially, from grants awarded by the Institute of Education Sciences, since they are already covered by the Institute's existing public access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w:t>
      </w:r>
      <w:r>
        <w:rPr>
          <w:rFonts w:ascii="arial" w:eastAsia="arial" w:hAnsi="arial" w:cs="arial"/>
          <w:b/>
          <w:i w:val="0"/>
          <w:strike w:val="0"/>
          <w:noProof w:val="0"/>
          <w:color w:val="000000"/>
          <w:position w:val="0"/>
          <w:sz w:val="20"/>
          <w:u w:val="none"/>
          <w:vertAlign w:val="baseline"/>
        </w:rPr>
        <w:t> [*67675] </w:t>
      </w:r>
      <w:r>
        <w:rPr>
          <w:rFonts w:ascii="arial" w:eastAsia="arial" w:hAnsi="arial" w:cs="arial"/>
          <w:b w:val="0"/>
          <w:i w:val="0"/>
          <w:strike w:val="0"/>
          <w:noProof w:val="0"/>
          <w:color w:val="000000"/>
          <w:position w:val="0"/>
          <w:sz w:val="20"/>
          <w:u w:val="none"/>
          <w:vertAlign w:val="baseline"/>
        </w:rPr>
        <w:t xml:space="preserve">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licensing requirement will not impose significant costs on entities that receive assistance through the Department's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Application, submission, and participation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program are voluntary. The costs of meeting the requirements will be paid for with program funds and therefore will not be a burden for grantees, including small entities. While there are no significant costs, in some limited circumstances, there may be some instances of lost revenue or added costs related to the loss of commercial benefit derived from exclusive copyrights.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grantees that create copyrightable works as part of a grant program retain unlimited rights to copyright and royalty income while the Department also retains a royalty-free, non-exclusive, and irrevocable right to reproduce, publish, or otherwise use, and to authorize others to use without cost, works created with Department grant funds for Federal Government purposes. These rights are assigned to the grantee at the time of the grant award and no further action is necessary to designate these rights. Grantees may establish terms and conditions that permit use and re-use of their works to any member of the public, for each instance of use or for each created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that grantees openly license copyrightable works to enable the public to use the work without restriction, so long as they provide attribution to the grantee as the author of the works or the holder of the copyright and author, if different. While the type of license will differ depending on the type of work created, applying an open license to a grant product typically involves the addition of a brief license identification statement or insertion of a license icon. This could occur following the development of the product, at the same time that the disclaimer currently required under </w:t>
      </w:r>
      <w:hyperlink r:id="rId16" w:history="1">
        <w:r>
          <w:rPr>
            <w:rFonts w:ascii="arial" w:eastAsia="arial" w:hAnsi="arial" w:cs="arial"/>
            <w:b w:val="0"/>
            <w:i/>
            <w:strike w:val="0"/>
            <w:noProof w:val="0"/>
            <w:color w:val="0077CC"/>
            <w:position w:val="0"/>
            <w:sz w:val="20"/>
            <w:u w:val="single"/>
            <w:vertAlign w:val="baseline"/>
          </w:rPr>
          <w:t>34 CFR 75.620</w:t>
        </w:r>
      </w:hyperlink>
      <w:r>
        <w:rPr>
          <w:rFonts w:ascii="arial" w:eastAsia="arial" w:hAnsi="arial" w:cs="arial"/>
          <w:b w:val="0"/>
          <w:i w:val="0"/>
          <w:strike w:val="0"/>
          <w:noProof w:val="0"/>
          <w:color w:val="000000"/>
          <w:position w:val="0"/>
          <w:sz w:val="20"/>
          <w:u w:val="none"/>
          <w:vertAlign w:val="baseline"/>
        </w:rPr>
        <w:t xml:space="preserve"> is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context,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reduce commercial incentives for an eligible entity to apply to participate in a discretionary grant program. For example, under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grant recipients have produced materials that were subsequently sold or licensed to third parties, such as publishing companies or others in the field. Although an open license does not preclude the grantee or any individual from developing commercial products and derivatives from the grant funded material, it does remove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that these grantees currently possess as the exclusive copyright holder. In addition, publishers and other third parties may incur loss of revenue since their commercial product will potentially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freely available versions of a similar product. We note, however, that based on the Department's program offices' past grantmaking experiences, relatively few grantees develop and market copyrighted content paid for with Department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significant benefits. The proposed policy would increase the Department's ability to be strategic with limited resources, encouraging diversity and non-duplication in the types of projects that receive funding. By encouraging subject matter experts and other users to build upon the grant products and enrich and update the content,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ensure the quality and long-term sustainability of innovations created through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broaden the impact of the Department's investments, enabling broader and more effective dissemination of grant-funded works to the public. Department stakeholders, such as LEAs, SEAs, IHEs, students, and others beyond direct grant recipients would be able to freely use and access the technology and high-quality materials, promoting equity and especially benefiting resource-poor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Department's First in the World grant program currently requires grantees to openly license intellectual property. The online remediation tool being created by the Southern New Hampshire University under this grant program will help underprepared, underrepresented, and low-income working adults obtain a postsecondary credential and reduce the time to degree completion. Under the terms of the grant, the open license will allow any other IHE or adult education provider to use this tool to serve the working adults in its service areas, without incurring costs or duplicating efforts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open licensing requirement, stakeholders will be able to more easily access resources that are created by the many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programs at the Department. For example, the Department grantees have created educational materials, assessments, and technical assistance that support the needs of various special populations. These include grants by the Department's Office of Special Education Programs (OSEP) to create resources that support children, youth, and adults with disabilities. An open license would give broad permission for any member of the public to use, adapt, and widely redistribute the assistive technologies, resources for building inclusive communities, and training materials for specialized service personnel to the address particular needs of their own school or community, without the additional administrative burden of seeking permission from the grantee or copyright holder. Similarly, some grants by the Department's Office of Elementary and Secondary Education (OESE) support innovative approaches to literacy to promote reading skills. An open license on those professional development tools and reading resources would allow stakeholders and other members of the public to access and share resources to address the needs of the public beyond those known to the grantee or copyright holder.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 </w:t>
      </w:r>
      <w:r>
        <w:rPr>
          <w:rFonts w:ascii="arial" w:eastAsia="arial" w:hAnsi="arial" w:cs="arial"/>
          <w:b/>
          <w:i w:val="0"/>
          <w:strike w:val="0"/>
          <w:noProof w:val="0"/>
          <w:color w:val="000000"/>
          <w:position w:val="0"/>
          <w:sz w:val="20"/>
          <w:u w:val="none"/>
          <w:vertAlign w:val="baseline"/>
        </w:rPr>
        <w:t> [*67676]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its clarity?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3474.20 Open Licensing Requirement for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Regulatory Flexibility Analysis presents an estimate of the effect on small entities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U.S. Small Business Administration Size Standards define "for-profit institutions" as "small businesses" if they are independently owned and operated and not dominant in their field of operation with total annual revenue below $ 7,000,000, and defines "non-profit institutions" as small organizations if they are independently owned and operated and not dominant in their field of operation, or as small entities if they are institutions controlled by governmental entities with populations below 50,000. The Secretary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We recognize that the proposed rule would eliminate the ability for a grantee to sell </w:t>
      </w:r>
      <w:r>
        <w:rPr>
          <w:rFonts w:ascii="arial" w:eastAsia="arial" w:hAnsi="arial" w:cs="arial"/>
          <w:b w:val="0"/>
          <w:i/>
          <w:strike w:val="0"/>
          <w:noProof w:val="0"/>
          <w:color w:val="000000"/>
          <w:position w:val="0"/>
          <w:sz w:val="20"/>
          <w:u w:val="none"/>
          <w:vertAlign w:val="baseline"/>
        </w:rPr>
        <w:t>copyrighted</w:t>
      </w:r>
      <w:r>
        <w:rPr>
          <w:rFonts w:ascii="arial" w:eastAsia="arial" w:hAnsi="arial" w:cs="arial"/>
          <w:b w:val="0"/>
          <w:i w:val="0"/>
          <w:strike w:val="0"/>
          <w:noProof w:val="0"/>
          <w:color w:val="000000"/>
          <w:position w:val="0"/>
          <w:sz w:val="20"/>
          <w:u w:val="none"/>
          <w:vertAlign w:val="baseline"/>
        </w:rPr>
        <w:t xml:space="preserve"> content developed using the Department's funds. However, we do not believe many grantees would experience this potential loss of income, in part because relatively few grantees develop and market copyrighted content paid for with Department funds and in part because a grantee could still sell its openly licensed content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Additionally, there are other avenues of funding outside of the Department that can be pursued if a small entity is focused on profiting from the educational tools and resources it develops. Lastly, we believe that small entities as a whole may realize significant benefits from access to a vast array of openly licensed educational tools and resources under the proposed open-licensing rule. However, the Department acknowledges that it is difficult to quantify the impact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small entities and, therefore, the Secretary invites comments from such entities as to whether they believe the proposed changes would have a significant economic impact on them and, if so, requests evidence to support that belief.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any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direct grant programs of the Department that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17"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 CFR Part 3474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Accounting, Administrative practice and procedure, Adult education, Aged, Agriculture, American Samoa, Bilingual education, Blind, Business and industry, Civil rights, Colleges and universities, Communications, Community development, Community facilities, Copyright, Credit, Cultural exchange programs, Educational facilities, Educational research, Education, Education of disadvantaged, Education of individuals with disabilities, Educational study programs, Electric power, Electric power rates, Electric utilities, Elementary and secondary education, Energy conservation, Equal educational opportunity, Federally affected areas, Government contracts, Grant programs, Grant programs--agriculture, Grant programs--business and industry, Grant programs--communications, Grant programs--education, Grant programs--energy, Grant programs--health, Grant programs--housing and community development, Grant programs--social programs, Grant administration, Guam, Home improvement, Homeless, Hospitals, Housing, Human research subjects, Indians, Indians--education, Infants and children, Insurance, Intergovernmental relations, International organizations, Inventions and patents, Loan programs, Loan programs social programs, Loan programs--agriculture, Loan programs--business and industry, Loan programs--communications, Loan programs--energy, Loan programs--health, Loan programs--housing and community development, Manpower training programs, Migrant labor, Mortgage insurance, Nonprofit organizations, Northern Mariana Islands, Pacific Islands Trust Territories, Privacy, Renewable Energy, Reporting and recordkeeping requirements, Rural areas, Scholarships and fellowships, School construction, Schools, Science and technology, Securities, Small businesses, State and local governments, Student aid, Teachers, Telecommunications, Telephone, Urban areas, Veterans, Virgin Islands, Vocational education, Vocational rehabilitation, Waste treatment and </w:t>
      </w:r>
      <w:r>
        <w:rPr>
          <w:rFonts w:ascii="arial" w:eastAsia="arial" w:hAnsi="arial" w:cs="arial"/>
          <w:b/>
          <w:i w:val="0"/>
          <w:strike w:val="0"/>
          <w:noProof w:val="0"/>
          <w:color w:val="000000"/>
          <w:position w:val="0"/>
          <w:sz w:val="20"/>
          <w:u w:val="none"/>
          <w:vertAlign w:val="baseline"/>
        </w:rPr>
        <w:t> [*67677] </w:t>
      </w:r>
      <w:r>
        <w:rPr>
          <w:rFonts w:ascii="arial" w:eastAsia="arial" w:hAnsi="arial" w:cs="arial"/>
          <w:b w:val="0"/>
          <w:i w:val="0"/>
          <w:strike w:val="0"/>
          <w:noProof w:val="0"/>
          <w:color w:val="000000"/>
          <w:position w:val="0"/>
          <w:sz w:val="20"/>
          <w:u w:val="none"/>
          <w:vertAlign w:val="baseline"/>
        </w:rPr>
        <w:t xml:space="preserve"> disposal, Water pollution control, Water resources, Water supply, Watersheds,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Arne Duncan,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proposes to amend part 3474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2"/>
        </w:numPr>
        <w:spacing w:before="120" w:line="240" w:lineRule="atLeast"/>
      </w:pPr>
      <w:r>
        <w:rPr>
          <w:b/>
          <w:i w:val="0"/>
          <w:sz w:val="20"/>
        </w:rPr>
        <w:t>TIVE REQUIREMENTS, COST PRINCIPLES, AND AUDIT REQUIREMENTS FOR FEDERAL AWARDS.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and 2 CFR part 200, unless otherwise noted.</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3474.1(a) is amended by removing "</w:t>
      </w:r>
      <w:hyperlink r:id="rId14" w:history="1">
        <w:r>
          <w:rPr>
            <w:rFonts w:ascii="arial" w:eastAsia="arial" w:hAnsi="arial" w:cs="arial"/>
            <w:b w:val="0"/>
            <w:i/>
            <w:strike w:val="0"/>
            <w:noProof w:val="0"/>
            <w:color w:val="0077CC"/>
            <w:position w:val="0"/>
            <w:sz w:val="20"/>
            <w:u w:val="single"/>
            <w:vertAlign w:val="baseline"/>
          </w:rPr>
          <w:t>2 CFR 200.102(a)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 CFR 200.207(a)</w:t>
        </w:r>
      </w:hyperlink>
      <w:r>
        <w:rPr>
          <w:rFonts w:ascii="arial" w:eastAsia="arial" w:hAnsi="arial" w:cs="arial"/>
          <w:b w:val="0"/>
          <w:i w:val="0"/>
          <w:strike w:val="0"/>
          <w:noProof w:val="0"/>
          <w:color w:val="000000"/>
          <w:position w:val="0"/>
          <w:sz w:val="20"/>
          <w:u w:val="none"/>
          <w:vertAlign w:val="baseline"/>
        </w:rPr>
        <w:t>" and adding, in its place, "</w:t>
      </w:r>
      <w:hyperlink r:id="rId14" w:history="1">
        <w:r>
          <w:rPr>
            <w:rFonts w:ascii="arial" w:eastAsia="arial" w:hAnsi="arial" w:cs="arial"/>
            <w:b w:val="0"/>
            <w:i/>
            <w:strike w:val="0"/>
            <w:noProof w:val="0"/>
            <w:color w:val="0077CC"/>
            <w:position w:val="0"/>
            <w:sz w:val="20"/>
            <w:u w:val="single"/>
            <w:vertAlign w:val="baseline"/>
          </w:rPr>
          <w:t>2 CFR 200.102(a)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200.207(a)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200.315(b)</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3474.20 to read as follows:</w:t>
      </w:r>
    </w:p>
    <w:p>
      <w:pPr>
        <w:numPr>
          <w:numId w:val="16"/>
        </w:numPr>
        <w:spacing w:before="120" w:line="240" w:lineRule="atLeast"/>
      </w:pPr>
      <w:r>
        <w:rPr>
          <w:b/>
          <w:i/>
          <w:sz w:val="20"/>
        </w:rPr>
        <w:t>rement for direct competitive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awarded after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that is awarded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must openly license to the public new copyrightable materials created in whole, or in part, with Department grant funds and copyrightable modifications made to pre-existing content using Department grant funds, except as provided in paragraph (c) of this section. The license must be worldwide, non-exclusive, royalty-free, perpetual, and irrevocable, and must grant the public permission to access, reproduce, publicly perform, publicly display, adapt, distribute, and otherwise use, for any purposes, copyrightable intellectual property created with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provided that the licensee gives attribution to the designated authors of the intellectual property. The licensee must also include the statement of attribution and disclaimer in </w:t>
      </w:r>
      <w:hyperlink r:id="rId16" w:history="1">
        <w:r>
          <w:rPr>
            <w:rFonts w:ascii="arial" w:eastAsia="arial" w:hAnsi="arial" w:cs="arial"/>
            <w:b w:val="0"/>
            <w:i/>
            <w:strike w:val="0"/>
            <w:noProof w:val="0"/>
            <w:color w:val="0077CC"/>
            <w:position w:val="0"/>
            <w:sz w:val="20"/>
            <w:u w:val="single"/>
            <w:vertAlign w:val="baseline"/>
          </w:rPr>
          <w:t>34 CFR 75.620(b)</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(c) of this section, a grantee that is awarded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must openly license all computer software source code developed or created with these grant funds under an intellectual property license that allows the public to freely use and build upon computer source code created or developed with these grant funds.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(a) and (b) of this section do not apply to--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that provide funding for general operating expenses;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that provide support to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scholarships, fellowships);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Peer-reviewed research publications that arise from scientific research funded, either fully or partially, from grants awarded by the Institute of Education Sciences that are already covered by the Institute's public access policy found at </w:t>
      </w:r>
      <w:hyperlink r:id="rId12" w:history="1">
        <w:r>
          <w:rPr>
            <w:rFonts w:ascii="arial" w:eastAsia="arial" w:hAnsi="arial" w:cs="arial"/>
            <w:b w:val="0"/>
            <w:i/>
            <w:strike w:val="0"/>
            <w:noProof w:val="0"/>
            <w:color w:val="0077CC"/>
            <w:position w:val="0"/>
            <w:sz w:val="20"/>
            <w:u w:val="single"/>
            <w:vertAlign w:val="baseline"/>
          </w:rPr>
          <w:t>http://ies.ed.gov/funding/researchaccess.asp</w:t>
        </w:r>
      </w:hyperlink>
      <w:r>
        <w:rPr>
          <w:rFonts w:ascii="arial" w:eastAsia="arial" w:hAnsi="arial" w:cs="arial"/>
          <w:b w:val="0"/>
          <w:i/>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reserves a royalty-free, nonexclusive and irrevocable right to reproduce, publish, or otherwise use the work for Federal purposes, and to authorize others to do so.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2015-27930 Filed 10-29-15;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December 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by fax or by email. Please submit your comments only one time, in order to ensure that we do not receive duplicate copies. In addition, please include the Docket ID at the top of your comments.</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including instructions for accessing agency documents, submitting comments, and viewing the docket, is available on the site under the help tab at "How To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Sharon Leu, U.S. Department of Education, 400 Maryland Avenue SW., Room 6W252, Washington, DC 20202-5900.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for comments received from members of the public is to make these submissions available for public viewing in their entirety on the Federal eRulemaking Portal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Sharon Leu, U.S. Department of Education, 400 Maryland Avenue SW., room 6W252, Washington, DC 20202. Telephone: (202) 453-5646 or by email: </w:t>
      </w:r>
      <w:hyperlink r:id="rId24" w:history="1">
        <w:r>
          <w:rPr>
            <w:rFonts w:ascii="arial" w:eastAsia="arial" w:hAnsi="arial" w:cs="arial"/>
            <w:b w:val="0"/>
            <w:i/>
            <w:strike w:val="0"/>
            <w:noProof w:val="0"/>
            <w:color w:val="0077CC"/>
            <w:position w:val="0"/>
            <w:sz w:val="20"/>
            <w:u w:val="single"/>
            <w:vertAlign w:val="baseline"/>
          </w:rPr>
          <w:t>tech@ed.gov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67672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3474-- UNIFORM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347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3474.20 Open licensing requ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C-7KH0-006W-92CG-00000-00&amp;context=" TargetMode="External" /><Relationship Id="rId11" Type="http://schemas.openxmlformats.org/officeDocument/2006/relationships/hyperlink" Target="https://advance.lexis.com/api/document?collection=administrative-codes&amp;id=urn:contentItem:5DW5-3600-006W-82TX-00000-00&amp;context=" TargetMode="External" /><Relationship Id="rId12" Type="http://schemas.openxmlformats.org/officeDocument/2006/relationships/hyperlink" Target="http://ies.ed.gov/funding/researchaccess.asp" TargetMode="External" /><Relationship Id="rId13" Type="http://schemas.openxmlformats.org/officeDocument/2006/relationships/hyperlink" Target="https://advance.lexis.com/api/document?collection=administrative-codes&amp;id=urn:contentItem:5F34-Y1R0-008G-Y1F8-00000-00&amp;context=" TargetMode="External" /><Relationship Id="rId14" Type="http://schemas.openxmlformats.org/officeDocument/2006/relationships/hyperlink" Target="https://advance.lexis.com/api/document?collection=administrative-codes&amp;id=urn:contentItem:5F34-Y1P0-008G-Y123-00000-00&amp;context=" TargetMode="External" /><Relationship Id="rId15" Type="http://schemas.openxmlformats.org/officeDocument/2006/relationships/hyperlink" Target="https://advance.lexis.com/api/document?collection=administrative-codes&amp;id=urn:contentItem:5F34-Y1P0-008G-Y12S-00000-00&amp;context=" TargetMode="External" /><Relationship Id="rId16" Type="http://schemas.openxmlformats.org/officeDocument/2006/relationships/hyperlink" Target="https://advance.lexis.com/api/document?collection=administrative-codes&amp;id=urn:contentItem:5GMB-DPB0-008H-028B-00000-00&amp;context=" TargetMode="External" /><Relationship Id="rId17" Type="http://schemas.openxmlformats.org/officeDocument/2006/relationships/hyperlink" Target="https://advance.lexis.com/api/document?collection=statutes-legislation&amp;id=urn:contentItem:4YF7-GKM1-NRF4-41M4-00000-00&amp;context=" TargetMode="External" /><Relationship Id="rId18" Type="http://schemas.openxmlformats.org/officeDocument/2006/relationships/hyperlink" Target="http://www.gpo.gov/fdsys" TargetMode="External" /><Relationship Id="rId19" Type="http://schemas.openxmlformats.org/officeDocument/2006/relationships/hyperlink" Target="http://www.federalregister.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31-NRF4-41GJ-00000-00&amp;context=" TargetMode="External" /><Relationship Id="rId21" Type="http://schemas.openxmlformats.org/officeDocument/2006/relationships/hyperlink" Target="https://advance.lexis.com/api/document?collection=statutes-legislation&amp;id=urn:contentItem:4YF7-GNP1-NRF4-4163-00000-00&amp;context=" TargetMode="External" /><Relationship Id="rId22" Type="http://schemas.openxmlformats.org/officeDocument/2006/relationships/hyperlink" Target="https://advance.lexis.com/api/document?collection=administrative-codes&amp;id=urn:contentItem:5F34-Y1P0-008G-Y12B-00000-00&amp;context=" TargetMode="External" /><Relationship Id="rId23" Type="http://schemas.openxmlformats.org/officeDocument/2006/relationships/hyperlink" Target="http://www.regulations.gov" TargetMode="External" /><Relationship Id="rId24" Type="http://schemas.openxmlformats.org/officeDocument/2006/relationships/hyperlink" Target="mailto:tech@ed.gov"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95-X660-006W-81P9-00000-00&amp;context=" TargetMode="External" /><Relationship Id="rId8" Type="http://schemas.openxmlformats.org/officeDocument/2006/relationships/hyperlink" Target="https://advance.lexis.com/api/document?collection=administrative-codes&amp;id=urn:contentItem:50W3-8VS0-0121-0453-00000-00&amp;context=" TargetMode="External" /><Relationship Id="rId9" Type="http://schemas.openxmlformats.org/officeDocument/2006/relationships/hyperlink" Target="https://advance.lexis.com/api/document?collection=administrative-codes&amp;id=urn:contentItem:3SDR-X570-001J-X48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