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7423</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027, Tuesday, February 10,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7423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February 10,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Innovation and Improvement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Supporting Effective Educator Development Grant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Innovation and Improvement</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Supporting Effective Educator Development (SEED) Grant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84.367D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March 12, 2015.</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Dates of Informational Webinars:</w:t>
      </w:r>
      <w:r>
        <w:rPr>
          <w:rFonts w:ascii="arial" w:eastAsia="arial" w:hAnsi="arial" w:cs="arial"/>
          <w:b w:val="0"/>
          <w:i w:val="0"/>
          <w:strike w:val="0"/>
          <w:noProof w:val="0"/>
          <w:color w:val="000000"/>
          <w:position w:val="0"/>
          <w:sz w:val="20"/>
          <w:u w:val="none"/>
          <w:vertAlign w:val="baseline"/>
        </w:rPr>
        <w:t xml:space="preserve"> The SEED program intends to hold Webinars designed to provide technical assistance to interested applicants. Detailed information regarding these meetings will be provided on the SEED Web site at </w:t>
      </w:r>
      <w:hyperlink r:id="rId8" w:history="1">
        <w:r>
          <w:rPr>
            <w:rFonts w:ascii="arial" w:eastAsia="arial" w:hAnsi="arial" w:cs="arial"/>
            <w:b w:val="0"/>
            <w:i/>
            <w:strike w:val="0"/>
            <w:noProof w:val="0"/>
            <w:color w:val="0077CC"/>
            <w:position w:val="0"/>
            <w:sz w:val="20"/>
            <w:u w:val="single"/>
            <w:vertAlign w:val="baseline"/>
          </w:rPr>
          <w:t>http://www2.ed.gov/programs/edseed/index.html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13,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10,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SEED program provides funding for grants to National Not-for-Profit Organizations for projects that support teacher or principal training or professional enhancement activities and that are supported by at least Moderate Evidence of Effectiveness. The purpose of the program is to increase the number of Highly Effective Teachers and Principals by developing or expanding the implementation of practices that are demonstrated to have an impact on improving student achievement or Student Growth. These grants will allow eligible entities to develop, expand, and evaluate practices that can serve as models of best practices that can be sustained and disseminated.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four absolute priorities, one of which is required for all applicants, and four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Absolute Priority 1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are from </w:t>
      </w:r>
      <w:hyperlink r:id="rId9" w:history="1">
        <w:r>
          <w:rPr>
            <w:rFonts w:ascii="arial" w:eastAsia="arial" w:hAnsi="arial" w:cs="arial"/>
            <w:b w:val="0"/>
            <w:i/>
            <w:strike w:val="0"/>
            <w:noProof w:val="0"/>
            <w:color w:val="0077CC"/>
            <w:position w:val="0"/>
            <w:sz w:val="20"/>
            <w:u w:val="single"/>
            <w:vertAlign w:val="baseline"/>
          </w:rPr>
          <w:t>34 CFR 75.226</w:t>
        </w:r>
      </w:hyperlink>
      <w:r>
        <w:rPr>
          <w:rFonts w:ascii="arial" w:eastAsia="arial" w:hAnsi="arial" w:cs="arial"/>
          <w:b w:val="0"/>
          <w:i w:val="0"/>
          <w:strike w:val="0"/>
          <w:noProof w:val="0"/>
          <w:color w:val="000000"/>
          <w:position w:val="0"/>
          <w:sz w:val="20"/>
          <w:u w:val="none"/>
          <w:vertAlign w:val="baseline"/>
        </w:rPr>
        <w:t xml:space="preserve">. Absolute Priorities 2 through 4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2 and 3 are from the notice of final priorities, requirements, definitions, and selection criteria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12, 2013 </w:t>
      </w:r>
      <w:hyperlink r:id="rId10" w:history="1">
        <w:r>
          <w:rPr>
            <w:rFonts w:ascii="arial" w:eastAsia="arial" w:hAnsi="arial" w:cs="arial"/>
            <w:b w:val="0"/>
            <w:i/>
            <w:strike w:val="0"/>
            <w:noProof w:val="0"/>
            <w:color w:val="0077CC"/>
            <w:position w:val="0"/>
            <w:sz w:val="20"/>
            <w:u w:val="single"/>
            <w:vertAlign w:val="baseline"/>
          </w:rPr>
          <w:t>(78 FR 9815)</w:t>
        </w:r>
      </w:hyperlink>
      <w:r>
        <w:rPr>
          <w:rFonts w:ascii="arial" w:eastAsia="arial" w:hAnsi="arial" w:cs="arial"/>
          <w:b w:val="0"/>
          <w:i w:val="0"/>
          <w:strike w:val="0"/>
          <w:noProof w:val="0"/>
          <w:color w:val="000000"/>
          <w:position w:val="0"/>
          <w:sz w:val="20"/>
          <w:u w:val="none"/>
          <w:vertAlign w:val="baseline"/>
        </w:rPr>
        <w:t xml:space="preserve"> ("SEED NFP").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 is from the Department's notice of final supplemental priorities and definitions,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1" w:history="1">
        <w:r>
          <w:rPr>
            <w:rFonts w:ascii="arial" w:eastAsia="arial" w:hAnsi="arial" w:cs="arial"/>
            <w:b w:val="0"/>
            <w:i/>
            <w:strike w:val="0"/>
            <w:noProof w:val="0"/>
            <w:color w:val="0077CC"/>
            <w:position w:val="0"/>
            <w:sz w:val="20"/>
            <w:u w:val="single"/>
            <w:vertAlign w:val="baseline"/>
          </w:rPr>
          <w:t>(79 FR 73425)</w:t>
        </w:r>
      </w:hyperlink>
      <w:r>
        <w:rPr>
          <w:rFonts w:ascii="arial" w:eastAsia="arial" w:hAnsi="arial" w:cs="arial"/>
          <w:b w:val="0"/>
          <w:i w:val="0"/>
          <w:strike w:val="0"/>
          <w:noProof w:val="0"/>
          <w:color w:val="000000"/>
          <w:position w:val="0"/>
          <w:sz w:val="20"/>
          <w:u w:val="none"/>
          <w:vertAlign w:val="baseline"/>
        </w:rPr>
        <w:t xml:space="preserve"> ("Supplemental Priorities").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absolute priorities. Under </w:t>
      </w:r>
      <w:hyperlink r:id="rId12"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 xml:space="preserve"> we consider only applications that meet Absolute Priority 1 and meet one or more of Absolute Priorities 2 through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1: Supporting Practices and Strategies for Which There Is Moderate Evidence of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supported by Moderate Evidence of Effectiveness.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has updated the Moderate Evidence of Effectiveness definition since the previous SEED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2: Teacher or Principal Recruitment, Selection, and Preparation.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priority funds projects that will create or expand practices and strategies that increase the number of Highly Effective Teachers or Highly Effective Principals by recruiting, selecting, and preparing talented individuals to work in schools with high concentrations of High-need Students. Projects must include activities that focus on creating </w:t>
      </w:r>
      <w:r>
        <w:rPr>
          <w:rFonts w:ascii="arial" w:eastAsia="arial" w:hAnsi="arial" w:cs="arial"/>
          <w:b/>
          <w:i w:val="0"/>
          <w:strike w:val="0"/>
          <w:noProof w:val="0"/>
          <w:color w:val="000000"/>
          <w:position w:val="0"/>
          <w:sz w:val="20"/>
          <w:u w:val="none"/>
          <w:vertAlign w:val="baseline"/>
        </w:rPr>
        <w:t> [*7424] </w:t>
      </w:r>
      <w:r>
        <w:rPr>
          <w:rFonts w:ascii="arial" w:eastAsia="arial" w:hAnsi="arial" w:cs="arial"/>
          <w:b w:val="0"/>
          <w:i w:val="0"/>
          <w:strike w:val="0"/>
          <w:noProof w:val="0"/>
          <w:color w:val="000000"/>
          <w:position w:val="0"/>
          <w:sz w:val="20"/>
          <w:u w:val="none"/>
          <w:vertAlign w:val="baseline"/>
        </w:rPr>
        <w:t xml:space="preserve"> or expanding high-performing teacher preparation programs, principal preparation programs, or both. Activities may include but are not limited to expanding clinical experiences, redesigning and implementing program coursework to align with State standards and district requirements for P-12 teachers, providing induction and other support for program participants in their classrooms and schools, and developing strategies for tracking the effect program graduates have on the achievement of their students or the performance of their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an applicant must propose a plan demonstrating a rigorous,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to determine which aspiring teachers or principals participate in the applicant's proposed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3: Professional Development for Teachers of Academic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funds projects that will create or expand practices and strategies that increase the number of Highly Effective Teachers by providing professional development opportunities to teachers, including special education teachers, in schools with high concentrations of High-need Students. Projects must focus on increasing Student Achievement in academic subjects by providing high-quality professional development to teachers. The academic subjects that may be addressed through professional development under this priority include foreign languages, civics and government, economics, arts, history, physical education, geography, environmental education, and financial literacy.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are required to describe the need of the proposed districts to be served for teacher professional development in the selected high-need academic subjects and to demonstrate alignment of the proposed projects with State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applicants must describe how they plan to measure the impact the professional development has on teacher effectiveness. Applicants must determine teacher effectiveness through a rigorous, transparent, and fair evaluation in which performance is differentiated using multiple measures of effectiveness and based in significant part on Student Growth.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list of subjects provided in this priority is illustrative. Applicants may propose to address other academic subjects or areas, such as writing, reading, or mathematics, which partner schools and districts have demonstrated to be high-need.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 4: Advanced Certification and Advanced Credentialing.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funds projects that will create or expand practices and strategies based on advanced certification or advanced credentialing that increase the number of Highly Effective Teachers, Highly Effective Principals, or both, who work in schools with high concentrations of High-need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are required to focus their proposed projects on encouraging and supporting teachers, principals, or both, who seek a nationally recognized, standards-based advanced certificate or advanced credential through high-quality professional enhancement projects designed to improve teaching and learning for teachers who may take on Career Ladder Positions, principals, or both who would serve as models, mentors, and coaches for other teachers, principals, or both working in schools with high concentrations of High-need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effectiveness of teachers or principals who receive advanced certification or credentialing must be determined through a rigorous, transparent, and fair evaluation in which performance is differentiated using multiple measures of effectiveness and based in significant part on Student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an applicant must propose a plan demonstrating a rigorous,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selection process to determine which teachers or principals participate in the applicant's proposed activities.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w:t>
      </w:r>
      <w:hyperlink r:id="rId12"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xml:space="preserve"> we award an additional five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We award an additional one point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We award an additional two points to an application that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We award up to an additional four points to an application, depending on how well the application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 The total number of points an application may receive for addressing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is 12. These points are in addition to any points the application earns under the selection criteria. Addressing these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is optional, and applicants may choose to respond to none, one, two, three, or all four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 Supporting Practices and Strategies for Which There Is Strong Evidence of Effectiveness (0 or 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supported by strong evidence of effectiveness (as defined in this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has updated the Strong Evidence of Effectiveness definition since the previous SEED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2: Improving Efficiency (Cost-Effectiveness) (0 or 1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will identify strategies for providing cost-effective, high-quality services at the State, regional, or local level by making better use of available resources. Such projects may include innovative and sustainable uses of technology, modification of school schedules and teacher compensation systems, use of Open Educational Resources, or other strategies.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3: Promoting Science, Technology, Engineering, and Mathematics (STEM) Education (0 or 2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funds projects that address one or both of the following priority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Increasing the opportunities for high-quality preparation of, or professional development for, teachers of STEM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Increasing the number of individuals from groups traditionally underrepresented in STEM, including minorities, individuals with disabilities, and women, who are teachers of STEM subjects and have increased opportunities for high-quality preparation or professional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applicants must describe how they plan to measure the impact the proposed project activities have on teacher effectiveness. Applicants must determine teacher effectiveness through a rigorous, transparent, and fair evaluation in which performance is differentiated using multiple measures of effectiveness and based in significant part on Student Growth.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encourages applicants to provide a thoughtful, in-depth response to the priority area(s)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3 to which they are well-suited to respond. Applicants may choose to respond to one or both of the priority areas and are not required to respond to each priority area in order to receive the maximum available points under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4: Supporting High-Need Students (0 to 4 points).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[*7425]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funds projects that are designed to improve: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Academic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Learning environments;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one or more of the following groups of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Students served by Rural Local Educational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Students with disabilities.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English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Students in Lowest-performing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Students who are living in poverty and are served by schools with high concentrations of students living in poverty.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Disconnected Youth or migrant youth.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Students who are members of federally recognized Indian tribes.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encourages applicants to provide a thoughtful, in-depth response to the priority area(s) under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4 to which they are well-suited to respond. Applicants may choose to respond to one or more of the priority areas and are not required to respond to each priority area in order to receive the maximum available points under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definitions are from the SEED NFP, the Supplemental Priorities, and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The source of each definition is noted in parentheses following the text of the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Career ladder positions</w:t>
      </w:r>
      <w:r>
        <w:rPr>
          <w:rFonts w:ascii="arial" w:eastAsia="arial" w:hAnsi="arial" w:cs="arial"/>
          <w:b w:val="0"/>
          <w:i w:val="0"/>
          <w:strike w:val="0"/>
          <w:noProof w:val="0"/>
          <w:color w:val="000000"/>
          <w:position w:val="0"/>
          <w:sz w:val="20"/>
          <w:u w:val="none"/>
          <w:vertAlign w:val="baseline"/>
        </w:rPr>
        <w:t xml:space="preserve"> means school-based instructional leadership positions designed to improve instructional practice, which teachers may voluntarily accept, such as positions described as master teacher, mentor teacher, demonstration or model teacher, or instructional coach, and for which teachers are selected based on criteria that are predictive of the ability to lead other teachers. (SEED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Disconnected youth</w:t>
      </w:r>
      <w:r>
        <w:rPr>
          <w:rFonts w:ascii="arial" w:eastAsia="arial" w:hAnsi="arial" w:cs="arial"/>
          <w:b w:val="0"/>
          <w:i w:val="0"/>
          <w:strike w:val="0"/>
          <w:noProof w:val="0"/>
          <w:color w:val="000000"/>
          <w:position w:val="0"/>
          <w:sz w:val="20"/>
          <w:u w:val="none"/>
          <w:vertAlign w:val="baseline"/>
        </w:rPr>
        <w:t xml:space="preserve"> means low-income individuals, ages 14-24, who are homeless, are in foster care, are involved in the justice system, or are not working or not enrolled in (or at risk of dropping out of) an educational institution.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High-minority school</w:t>
      </w:r>
      <w:r>
        <w:rPr>
          <w:rFonts w:ascii="arial" w:eastAsia="arial" w:hAnsi="arial" w:cs="arial"/>
          <w:b w:val="0"/>
          <w:i w:val="0"/>
          <w:strike w:val="0"/>
          <w:noProof w:val="0"/>
          <w:color w:val="000000"/>
          <w:position w:val="0"/>
          <w:sz w:val="20"/>
          <w:u w:val="none"/>
          <w:vertAlign w:val="baseline"/>
        </w:rPr>
        <w:t xml:space="preserve"> means a school as that term is defined by a local education agency (LEA), which must define the term in a manner consistent with its State's Teacher Equity Plan, as required by section 1111(b)(8)(C) of the Elementary and Secondary Education Act of 1965, as amended (ESEA). The applicant must provide the definition(s) of "High-minority Schools" used in its application.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High-need students</w:t>
      </w:r>
      <w:r>
        <w:rPr>
          <w:rFonts w:ascii="arial" w:eastAsia="arial" w:hAnsi="arial" w:cs="arial"/>
          <w:b w:val="0"/>
          <w:i w:val="0"/>
          <w:strike w:val="0"/>
          <w:noProof w:val="0"/>
          <w:color w:val="000000"/>
          <w:position w:val="0"/>
          <w:sz w:val="20"/>
          <w:u w:val="none"/>
          <w:vertAlign w:val="baseline"/>
        </w:rPr>
        <w:t xml:space="preserve"> means students who are at risk of educational failure or otherwise in need of special assistance and support, such as students who are living in poverty, who attend High-minority Schools, who are far below grade level, who have left school before receiving a Regular High School Diploma, who are at risk of not graduating with a diploma on time, who are homeless, who are in foster care, who have been incarcerated, who have disabilities, or who are English learners.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Highly effective principal</w:t>
      </w:r>
      <w:r>
        <w:rPr>
          <w:rFonts w:ascii="arial" w:eastAsia="arial" w:hAnsi="arial" w:cs="arial"/>
          <w:b w:val="0"/>
          <w:i w:val="0"/>
          <w:strike w:val="0"/>
          <w:noProof w:val="0"/>
          <w:color w:val="000000"/>
          <w:position w:val="0"/>
          <w:sz w:val="20"/>
          <w:u w:val="none"/>
          <w:vertAlign w:val="baseline"/>
        </w:rPr>
        <w:t xml:space="preserve"> means a principal whose students, overall and for each subgroup as described in section 1111(b)(2)(C)(v)(II) of the Elementary and Secondary Education Act, as amended (ESEA)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economically disadvantaged students, students from major racial and ethnic groups, students with disabilities, and students with limited English proficiency), achieve high rates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one and one-half grade levels in an academic year) of student growth. Eligible applicants may include multiple measures, provided that principal effectiveness is evaluated, in significant part, based on student growth. Supplemental measures may include, for example, high school graduation rates; college enrollment rates; evidence of providing supportive teaching and learning conditions, support for ensuring effective instruction across subject areas for a well-rounded education, strong instructional leadership, and positive family and community engagement; or evidence of attracting, developing, and retaining high numbers of effective teachers. (SEED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Highly effective teacher</w:t>
      </w:r>
      <w:r>
        <w:rPr>
          <w:rFonts w:ascii="arial" w:eastAsia="arial" w:hAnsi="arial" w:cs="arial"/>
          <w:b w:val="0"/>
          <w:i w:val="0"/>
          <w:strike w:val="0"/>
          <w:noProof w:val="0"/>
          <w:color w:val="000000"/>
          <w:position w:val="0"/>
          <w:sz w:val="20"/>
          <w:u w:val="none"/>
          <w:vertAlign w:val="baseline"/>
        </w:rPr>
        <w:t xml:space="preserve"> means a teacher whose students achieve high rates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one and one-half grade levels in an academic year) of student growth. Eligible applicants may include multiple measures, provided that teacher effectiveness is evaluated, in significant part, based on student growth. Supplemental measures may include, for example, multiple observation-based assessments of teacher performance or evidence of leadership roles (which may include mentoring or leading professional development learning communities) that increase effectiveness of other teachers in the school or LEA. (SEED NFP)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Large sample</w:t>
      </w:r>
      <w:r>
        <w:rPr>
          <w:rFonts w:ascii="arial" w:eastAsia="arial" w:hAnsi="arial" w:cs="arial"/>
          <w:b w:val="0"/>
          <w:i w:val="0"/>
          <w:strike w:val="0"/>
          <w:noProof w:val="0"/>
          <w:color w:val="000000"/>
          <w:position w:val="0"/>
          <w:sz w:val="20"/>
          <w:u w:val="none"/>
          <w:vertAlign w:val="baseline"/>
        </w:rPr>
        <w:t xml:space="preserve"> means an analytic sample of 350 or more students (or other single analysis units), or 50 or more groups (such as classrooms or schools) that contain 10 or more students (or other single analysis units).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Lowest-performing schools</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State with an approved request for flexibility under the Elementary and Secondary Education Act of 1965, as amended (ESEA), Priority Schools or Tier I and Tier II Schools identified under the School Improvement Grants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other State, Tier I and Tier II schools identified under the School Improvement Grants program.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Moderate evidence of effectiveness</w:t>
      </w:r>
      <w:r>
        <w:rPr>
          <w:rFonts w:ascii="arial" w:eastAsia="arial" w:hAnsi="arial" w:cs="arial"/>
          <w:b w:val="0"/>
          <w:i w:val="0"/>
          <w:strike w:val="0"/>
          <w:noProof w:val="0"/>
          <w:color w:val="000000"/>
          <w:position w:val="0"/>
          <w:sz w:val="20"/>
          <w:u w:val="none"/>
          <w:vertAlign w:val="baseline"/>
        </w:rPr>
        <w:t xml:space="preserve"> means one of the following conditions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There is at least one study of the effectiveness of the process, product, strategy, or practice being proposed that meets the What Works Clearinghouse Evidence Standards without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and includes a sample that overlaps with the populations or settings proposed to receive the process, product, strategy, or practice.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There is at least one study of the effectiveness of the process, product, strategy, or practice being proposed that meets the What Works Clearinghouse Evidence Standards with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includes a sample that overlaps with the populations or settings proposed to receive the process, product, strategy, or practice, and includes a Large Sample and a Multi-site Sample.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Multiple studies can cumulatively meet the Large and Multi-site Sample requirements as long as each study meets the other requirements in this paragraph.)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All studies will be reviewed according to existing WWC review protocols in their appropriate topic area (see examples of Protocols by Topic Area: </w:t>
      </w:r>
      <w:hyperlink r:id="rId14" w:history="1">
        <w:r>
          <w:rPr>
            <w:rFonts w:ascii="arial" w:eastAsia="arial" w:hAnsi="arial" w:cs="arial"/>
            <w:b w:val="0"/>
            <w:i/>
            <w:strike w:val="0"/>
            <w:noProof w:val="0"/>
            <w:color w:val="0077CC"/>
            <w:position w:val="0"/>
            <w:sz w:val="20"/>
            <w:u w:val="single"/>
            <w:vertAlign w:val="baseline"/>
          </w:rPr>
          <w:t>http://ies.ed.gov/ncee/wwc/Publications_Reviews.aspx?f=All%20Publication%20and%20Review%20Types,5</w:t>
        </w:r>
      </w:hyperlink>
      <w:r>
        <w:rPr>
          <w:rFonts w:ascii="arial" w:eastAsia="arial" w:hAnsi="arial" w:cs="arial"/>
          <w:b w:val="0"/>
          <w:i/>
          <w:strike w:val="0"/>
          <w:noProof w:val="0"/>
          <w:color w:val="000000"/>
          <w:position w:val="0"/>
          <w:sz w:val="20"/>
          <w:u w:val="none"/>
          <w:vertAlign w:val="baseline"/>
        </w:rPr>
        <w:t>;#pubsearch</w:t>
      </w:r>
      <w:r>
        <w:rPr>
          <w:rFonts w:ascii="arial" w:eastAsia="arial" w:hAnsi="arial" w:cs="arial"/>
          <w:b w:val="0"/>
          <w:i w:val="0"/>
          <w:strike w:val="0"/>
          <w:noProof w:val="0"/>
          <w:color w:val="000000"/>
          <w:position w:val="0"/>
          <w:sz w:val="20"/>
          <w:u w:val="none"/>
          <w:vertAlign w:val="baseline"/>
        </w:rPr>
        <w:t xml:space="preserve">). Protocols outline the specific processes that are used to determine whether a study meets WWC Evidence Standards. If a given study does not fit an existing topic-specific protocol, the WWC will use one of two Single Study Review protocols to guide the review (For K-12 Studies: </w:t>
      </w:r>
      <w:hyperlink r:id="rId15" w:history="1">
        <w:r>
          <w:rPr>
            <w:rFonts w:ascii="arial" w:eastAsia="arial" w:hAnsi="arial" w:cs="arial"/>
            <w:b w:val="0"/>
            <w:i/>
            <w:strike w:val="0"/>
            <w:noProof w:val="0"/>
            <w:color w:val="0077CC"/>
            <w:position w:val="0"/>
            <w:sz w:val="20"/>
            <w:u w:val="single"/>
            <w:vertAlign w:val="baseline"/>
          </w:rPr>
          <w:t>http://ies.ed.gov/ncee/wwc/documentsum.aspx?sid=234</w:t>
        </w:r>
      </w:hyperlink>
      <w:r>
        <w:rPr>
          <w:rFonts w:ascii="arial" w:eastAsia="arial" w:hAnsi="arial" w:cs="arial"/>
          <w:b w:val="0"/>
          <w:i w:val="0"/>
          <w:strike w:val="0"/>
          <w:noProof w:val="0"/>
          <w:color w:val="000000"/>
          <w:position w:val="0"/>
          <w:sz w:val="20"/>
          <w:u w:val="none"/>
          <w:vertAlign w:val="baseline"/>
        </w:rPr>
        <w:t xml:space="preserve"> and for </w:t>
      </w:r>
      <w:r>
        <w:rPr>
          <w:rFonts w:ascii="arial" w:eastAsia="arial" w:hAnsi="arial" w:cs="arial"/>
          <w:b/>
          <w:i w:val="0"/>
          <w:strike w:val="0"/>
          <w:noProof w:val="0"/>
          <w:color w:val="000000"/>
          <w:position w:val="0"/>
          <w:sz w:val="20"/>
          <w:u w:val="none"/>
          <w:vertAlign w:val="baseline"/>
        </w:rPr>
        <w:t> [*7426] </w:t>
      </w:r>
      <w:r>
        <w:rPr>
          <w:rFonts w:ascii="arial" w:eastAsia="arial" w:hAnsi="arial" w:cs="arial"/>
          <w:b w:val="0"/>
          <w:i w:val="0"/>
          <w:strike w:val="0"/>
          <w:noProof w:val="0"/>
          <w:color w:val="000000"/>
          <w:position w:val="0"/>
          <w:sz w:val="20"/>
          <w:u w:val="none"/>
          <w:vertAlign w:val="baseline"/>
        </w:rPr>
        <w:t xml:space="preserve"> Postsecondary Studies: (</w:t>
      </w:r>
      <w:hyperlink r:id="rId16" w:history="1">
        <w:r>
          <w:rPr>
            <w:rFonts w:ascii="arial" w:eastAsia="arial" w:hAnsi="arial" w:cs="arial"/>
            <w:b w:val="0"/>
            <w:i/>
            <w:strike w:val="0"/>
            <w:noProof w:val="0"/>
            <w:color w:val="0077CC"/>
            <w:position w:val="0"/>
            <w:sz w:val="20"/>
            <w:u w:val="single"/>
            <w:vertAlign w:val="baseline"/>
          </w:rPr>
          <w:t>http://ies.ed.gov/ncee/wwc/documentsum.aspx?sid=242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Multi-site sample</w:t>
      </w:r>
      <w:r>
        <w:rPr>
          <w:rFonts w:ascii="arial" w:eastAsia="arial" w:hAnsi="arial" w:cs="arial"/>
          <w:b w:val="0"/>
          <w:i w:val="0"/>
          <w:strike w:val="0"/>
          <w:noProof w:val="0"/>
          <w:color w:val="000000"/>
          <w:position w:val="0"/>
          <w:sz w:val="20"/>
          <w:u w:val="none"/>
          <w:vertAlign w:val="baseline"/>
        </w:rPr>
        <w:t xml:space="preserve"> means more than one site, where site can be defined as an LEA, locality, or State.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level</w:t>
      </w:r>
      <w:r>
        <w:rPr>
          <w:rFonts w:ascii="arial" w:eastAsia="arial" w:hAnsi="arial" w:cs="arial"/>
          <w:b w:val="0"/>
          <w:i w:val="0"/>
          <w:strike w:val="0"/>
          <w:noProof w:val="0"/>
          <w:color w:val="000000"/>
          <w:position w:val="0"/>
          <w:sz w:val="20"/>
          <w:u w:val="none"/>
          <w:vertAlign w:val="baseline"/>
        </w:rPr>
        <w:t xml:space="preserve"> describes the level of scope or effectiveness of a process, product, strategy, or practice that is able to be effective in a wide variety of communities, including rural and urban areas, as well as with different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economically disadvantaged, racial and ethnic groups, migrant populations, individuals with disabilities, English learners, and individuals of each gender). (SEED NFP)</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National not-for-profit organization</w:t>
      </w:r>
      <w:r>
        <w:rPr>
          <w:rFonts w:ascii="arial" w:eastAsia="arial" w:hAnsi="arial" w:cs="arial"/>
          <w:b w:val="0"/>
          <w:i w:val="0"/>
          <w:strike w:val="0"/>
          <w:noProof w:val="0"/>
          <w:color w:val="000000"/>
          <w:position w:val="0"/>
          <w:sz w:val="20"/>
          <w:u w:val="none"/>
          <w:vertAlign w:val="baseline"/>
        </w:rPr>
        <w:t xml:space="preserve"> means an entity that meets the definition of "nonprofit" under </w:t>
      </w:r>
      <w:hyperlink r:id="rId13" w:history="1">
        <w:r>
          <w:rPr>
            <w:rFonts w:ascii="arial" w:eastAsia="arial" w:hAnsi="arial" w:cs="arial"/>
            <w:b w:val="0"/>
            <w:i/>
            <w:strike w:val="0"/>
            <w:noProof w:val="0"/>
            <w:color w:val="0077CC"/>
            <w:position w:val="0"/>
            <w:sz w:val="20"/>
            <w:u w:val="single"/>
            <w:vertAlign w:val="baseline"/>
          </w:rPr>
          <w:t>34 CFR 77.1(c)</w:t>
        </w:r>
      </w:hyperlink>
      <w:r>
        <w:rPr>
          <w:rFonts w:ascii="arial" w:eastAsia="arial" w:hAnsi="arial" w:cs="arial"/>
          <w:b w:val="0"/>
          <w:i w:val="0"/>
          <w:strike w:val="0"/>
          <w:noProof w:val="0"/>
          <w:color w:val="000000"/>
          <w:position w:val="0"/>
          <w:sz w:val="20"/>
          <w:u w:val="none"/>
          <w:vertAlign w:val="baseline"/>
        </w:rPr>
        <w:t xml:space="preserve"> and is of national scope, meaning that the entity provides services in multiple States to a significant number or percentage of recipients and is supported by staff or affiliates in multiple States. (SEED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Open educational resources</w:t>
      </w:r>
      <w:r>
        <w:rPr>
          <w:rFonts w:ascii="arial" w:eastAsia="arial" w:hAnsi="arial" w:cs="arial"/>
          <w:b w:val="0"/>
          <w:i w:val="0"/>
          <w:strike w:val="0"/>
          <w:noProof w:val="0"/>
          <w:color w:val="000000"/>
          <w:position w:val="0"/>
          <w:sz w:val="20"/>
          <w:u w:val="none"/>
          <w:vertAlign w:val="baseline"/>
        </w:rPr>
        <w:t xml:space="preserve"> means teaching, learning, and research resources that reside in the public domain or have been released under an intellectual property license that permits their free use or repurposing by others. (SEED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Persistently lowest achieving school</w:t>
      </w:r>
      <w:r>
        <w:rPr>
          <w:rFonts w:ascii="arial" w:eastAsia="arial" w:hAnsi="arial" w:cs="arial"/>
          <w:b w:val="0"/>
          <w:i w:val="0"/>
          <w:strike w:val="0"/>
          <w:noProof w:val="0"/>
          <w:color w:val="000000"/>
          <w:position w:val="0"/>
          <w:sz w:val="20"/>
          <w:u w:val="none"/>
          <w:vertAlign w:val="baseline"/>
        </w:rPr>
        <w:t xml:space="preserve"> means, as determined by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(a)(1) Any Title I school that has been identified for improvement, corrective action, or restructuring under section 1116 of the Elementary and Secondary Education Act of 1965, as amended (ESEA) and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Is among the lowest-achieving five percent of Title I schools in improvement, corrective action, or restructuring or the lowest-achieving five Title I schools in improvement, corrective action, or restructuring in the State, whichever number of schools is greater;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Is a high school that has had a graduation rate, as defined in </w:t>
      </w:r>
      <w:hyperlink r:id="rId17" w:history="1">
        <w:r>
          <w:rPr>
            <w:rFonts w:ascii="arial" w:eastAsia="arial" w:hAnsi="arial" w:cs="arial"/>
            <w:b w:val="0"/>
            <w:i/>
            <w:strike w:val="0"/>
            <w:noProof w:val="0"/>
            <w:color w:val="0077CC"/>
            <w:position w:val="0"/>
            <w:sz w:val="20"/>
            <w:u w:val="single"/>
            <w:vertAlign w:val="baseline"/>
          </w:rPr>
          <w:t>34 CFR 200.19(b)</w:t>
        </w:r>
      </w:hyperlink>
      <w:r>
        <w:rPr>
          <w:rFonts w:ascii="arial" w:eastAsia="arial" w:hAnsi="arial" w:cs="arial"/>
          <w:b w:val="0"/>
          <w:i w:val="0"/>
          <w:strike w:val="0"/>
          <w:noProof w:val="0"/>
          <w:color w:val="000000"/>
          <w:position w:val="0"/>
          <w:sz w:val="20"/>
          <w:u w:val="none"/>
          <w:vertAlign w:val="baseline"/>
        </w:rPr>
        <w:t>, that is less than 60 percent over a number of years;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Any secondary school that is eligible for, but does not receive, Title I funds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Is among the lowest-achieving five percent of secondary schools or the lowest-achieving five secondary schools in the State that are eligible for, but do not receive, Title I funds, whichever number of schools is greater;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Is a high school that has had a graduation rate, as defined in </w:t>
      </w:r>
      <w:hyperlink r:id="rId17" w:history="1">
        <w:r>
          <w:rPr>
            <w:rFonts w:ascii="arial" w:eastAsia="arial" w:hAnsi="arial" w:cs="arial"/>
            <w:b w:val="0"/>
            <w:i/>
            <w:strike w:val="0"/>
            <w:noProof w:val="0"/>
            <w:color w:val="0077CC"/>
            <w:position w:val="0"/>
            <w:sz w:val="20"/>
            <w:u w:val="single"/>
            <w:vertAlign w:val="baseline"/>
          </w:rPr>
          <w:t>34 CFR 200.19(b)</w:t>
        </w:r>
      </w:hyperlink>
      <w:r>
        <w:rPr>
          <w:rFonts w:ascii="arial" w:eastAsia="arial" w:hAnsi="arial" w:cs="arial"/>
          <w:b w:val="0"/>
          <w:i w:val="0"/>
          <w:strike w:val="0"/>
          <w:noProof w:val="0"/>
          <w:color w:val="000000"/>
          <w:position w:val="0"/>
          <w:sz w:val="20"/>
          <w:u w:val="none"/>
          <w:vertAlign w:val="baseline"/>
        </w:rPr>
        <w:t>, that is less than 60 percent over a number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To identify the lowest-achieving schools, a State must take into account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academic achievement of the "all students" group in a school in terms of proficiency on the State's assessments under section 1111(b)(3) of the Elementary and Secondary Education Act of 1965, as amended (ESEA), in reading/language arts and mathematics combined;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school's lack of progress on those assessments over a number of years in the "all students" group.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Priority schools</w:t>
      </w:r>
      <w:r>
        <w:rPr>
          <w:rFonts w:ascii="arial" w:eastAsia="arial" w:hAnsi="arial" w:cs="arial"/>
          <w:b w:val="0"/>
          <w:i w:val="0"/>
          <w:strike w:val="0"/>
          <w:noProof w:val="0"/>
          <w:color w:val="000000"/>
          <w:position w:val="0"/>
          <w:sz w:val="20"/>
          <w:u w:val="none"/>
          <w:vertAlign w:val="baseline"/>
        </w:rPr>
        <w:t xml:space="preserve"> means schools that, based on the most recent data available, have been identified as among the lowest-performing schools in the State. The total number of Priority Schools in a State must be at least five percent of the Title I schools in the State. A priority school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school among the lowest five percent of Title I schools in the State based on the achievement of the "all students" group in terms of proficiency on the statewide assessments that are part of the SEA's differentiated recognition, accountability, and support system, combined, and has demonstrated a lack of progress on those assessments over a number of years in the "all students"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Title I-participating or Title I-eligible high school with a graduation rate that is less than 60 percent over a number of years;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Tier I or Tier II school under the School Improvement Grant (SIG) program that is using SIG funds to implement a school intervention model. (Supplemental Priorities)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Relevant outcome</w:t>
      </w:r>
      <w:r>
        <w:rPr>
          <w:rFonts w:ascii="arial" w:eastAsia="arial" w:hAnsi="arial" w:cs="arial"/>
          <w:b w:val="0"/>
          <w:i w:val="0"/>
          <w:strike w:val="0"/>
          <w:noProof w:val="0"/>
          <w:color w:val="000000"/>
          <w:position w:val="0"/>
          <w:sz w:val="20"/>
          <w:u w:val="none"/>
          <w:vertAlign w:val="baseline"/>
        </w:rPr>
        <w:t xml:space="preserve"> means the student outcome(s) (or the ultimate outcome if not related to students) the proposed process, product, strategy, or practice is designed to improve; consistent with the specific goals of a program.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Regular high school diploma</w:t>
      </w:r>
      <w:r>
        <w:rPr>
          <w:rFonts w:ascii="arial" w:eastAsia="arial" w:hAnsi="arial" w:cs="arial"/>
          <w:b w:val="0"/>
          <w:i w:val="0"/>
          <w:strike w:val="0"/>
          <w:noProof w:val="0"/>
          <w:color w:val="000000"/>
          <w:position w:val="0"/>
          <w:sz w:val="20"/>
          <w:u w:val="none"/>
          <w:vertAlign w:val="baseline"/>
        </w:rPr>
        <w:t xml:space="preserve"> means the standard high school diploma that is awarded to students in the State and that is fully aligned with the State's academic content standards or a higher diploma and does not include a General Education Development (GED) credential, certificate of attendance, or any alternative award.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Rural local educational agency</w:t>
      </w:r>
      <w:r>
        <w:rPr>
          <w:rFonts w:ascii="arial" w:eastAsia="arial" w:hAnsi="arial" w:cs="arial"/>
          <w:b w:val="0"/>
          <w:i w:val="0"/>
          <w:strike w:val="0"/>
          <w:noProof w:val="0"/>
          <w:color w:val="000000"/>
          <w:position w:val="0"/>
          <w:sz w:val="20"/>
          <w:u w:val="none"/>
          <w:vertAlign w:val="baseline"/>
        </w:rPr>
        <w:t xml:space="preserve"> means a LEA that is eligible under the Small Rural School Achievement (SRSA) program or the Rural and Low-Income School (RLIS) program authorized under Title VI, Part B of the Elementary and Secondary Education Act of 1965, as amended (ESEA). Eligible applicants may determine whether a particular LEA is eligible for these programs by referring to information on the Department's Web site at </w:t>
      </w:r>
      <w:r>
        <w:rPr>
          <w:rFonts w:ascii="arial" w:eastAsia="arial" w:hAnsi="arial" w:cs="arial"/>
          <w:b w:val="0"/>
          <w:i/>
          <w:strike w:val="0"/>
          <w:noProof w:val="0"/>
          <w:color w:val="000000"/>
          <w:position w:val="0"/>
          <w:sz w:val="20"/>
          <w:u w:val="none"/>
          <w:vertAlign w:val="baseline"/>
        </w:rPr>
        <w:t>www2.ed.gov/nclb/freedom/local/reap.html.</w:t>
      </w:r>
      <w:r>
        <w:rPr>
          <w:rFonts w:ascii="arial" w:eastAsia="arial" w:hAnsi="arial" w:cs="arial"/>
          <w:b w:val="0"/>
          <w:i w:val="0"/>
          <w:strike w:val="0"/>
          <w:noProof w:val="0"/>
          <w:color w:val="000000"/>
          <w:position w:val="0"/>
          <w:sz w:val="20"/>
          <w:u w:val="none"/>
          <w:vertAlign w:val="baseline"/>
        </w:rPr>
        <w:t xml:space="preserve">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Strong evidence of effectiveness</w:t>
      </w:r>
      <w:r>
        <w:rPr>
          <w:rFonts w:ascii="arial" w:eastAsia="arial" w:hAnsi="arial" w:cs="arial"/>
          <w:b w:val="0"/>
          <w:i w:val="0"/>
          <w:strike w:val="0"/>
          <w:noProof w:val="0"/>
          <w:color w:val="000000"/>
          <w:position w:val="0"/>
          <w:sz w:val="20"/>
          <w:u w:val="none"/>
          <w:vertAlign w:val="baseline"/>
        </w:rPr>
        <w:t xml:space="preserve"> means one of the following conditions is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There is at least one study of the effectiveness of the process, product, strategy, or practice being proposed that meets the What Works Clearinghouse Evidence Standards without reservations, found a statistically significant favorable impact on a Relevant Outcome (with no statistically significant and overriding unfavorable impacts on that outcome for relevant populations in the study or in other studies of the intervention reviewed by and reported on by the What Works Clearinghouse), includes a sample that overlaps with the populations and settings proposed to receive the process, product, strategy, or practice, and includes a Large Sample and a Multi-site Sample. (</w:t>
      </w: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Multiple studies can cumulatively meet the Large and Multi-site sample requirements as long as each study meets the other requirements in this paragraph.)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There are at least two studies of the effectiveness of the process, product, strategy, or practice being proposed, each of which: Meets the What Works Clearinghouse Evidence Standards with reservations, found a statistically significant favorable impact on a Relevant Outcome (with no statistically significant and overriding unfavorable impacts on that outcome for relevant populations in the studies or in other studies of the intervention reviewed by and reported on by the What Works Clearinghouse), includes a sample that overlaps with the populations and settings proposed to receive the process, product, strategy, or practice, and includes a Large Sample and a Multi-site Sample.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achievement</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tested grades and subjects: (1) A student's score on the State's assessments under the ESEA; and, as appropriate, (2) other measures of student learning, such as those described in paragraph (b) of this definition, provided they are rigorous and comparable across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non-tested grades and subjects: alternative measures of student learning and performance, such as student scores on pre-tests and end-of-course tests; student performance on English language proficiency assessments; and other measures of student achievement that are rigorous and comparable across schools. (SEED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growth</w:t>
      </w:r>
      <w:r>
        <w:rPr>
          <w:rFonts w:ascii="arial" w:eastAsia="arial" w:hAnsi="arial" w:cs="arial"/>
          <w:b w:val="0"/>
          <w:i w:val="0"/>
          <w:strike w:val="0"/>
          <w:noProof w:val="0"/>
          <w:color w:val="000000"/>
          <w:position w:val="0"/>
          <w:sz w:val="20"/>
          <w:u w:val="none"/>
          <w:vertAlign w:val="baseline"/>
        </w:rPr>
        <w:t xml:space="preserve"> means the change in student achievement (as defined in this notice) for an individual student between two or more points in time. An </w:t>
      </w:r>
      <w:r>
        <w:rPr>
          <w:rFonts w:ascii="arial" w:eastAsia="arial" w:hAnsi="arial" w:cs="arial"/>
          <w:b/>
          <w:i w:val="0"/>
          <w:strike w:val="0"/>
          <w:noProof w:val="0"/>
          <w:color w:val="000000"/>
          <w:position w:val="0"/>
          <w:sz w:val="20"/>
          <w:u w:val="none"/>
          <w:vertAlign w:val="baseline"/>
        </w:rPr>
        <w:t> [*7427] </w:t>
      </w:r>
      <w:r>
        <w:rPr>
          <w:rFonts w:ascii="arial" w:eastAsia="arial" w:hAnsi="arial" w:cs="arial"/>
          <w:b w:val="0"/>
          <w:i w:val="0"/>
          <w:strike w:val="0"/>
          <w:noProof w:val="0"/>
          <w:color w:val="000000"/>
          <w:position w:val="0"/>
          <w:sz w:val="20"/>
          <w:u w:val="none"/>
          <w:vertAlign w:val="baseline"/>
        </w:rPr>
        <w:t xml:space="preserve"> applicant may also include other measures that are rigorous and comparable across classrooms. (SEED NFP)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Tier I schools</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Title I school that has been identified as in improvement, corrective action, or restructuring under section 1116 of the Elementary and Secondary Education Act of 1965, as amended (ESEA) and that is identified by the SEA under paragraph (a)(1) of the definition of "persistently lowest achieving school."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elementary school that is eligible for Title I, Part A funds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(1)(i) Has not made adequate yearly progress for at least two consecutive years;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Is in the State's lowest quintile of performance based on proficiency rates on the State's assessments under section 1111(b)(3) of the Elementary and Secondary Education Act of 1965, as amended (ESEA) in reading/language arts and mathematics combined; and (2) Is no higher achieving than the highest-achieving school identified by the SEA under paragraph (a)(1)(i) of the definition of "persistently lowest achieving school."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Tier II schools</w:t>
      </w:r>
      <w:r>
        <w:rPr>
          <w:rFonts w:ascii="arial" w:eastAsia="arial" w:hAnsi="arial" w:cs="arial"/>
          <w:b w:val="0"/>
          <w:i w:val="0"/>
          <w:strike w:val="0"/>
          <w:noProof w:val="0"/>
          <w:color w:val="000000"/>
          <w:position w:val="0"/>
          <w:sz w:val="20"/>
          <w:u w:val="none"/>
          <w:vertAlign w:val="baseline"/>
        </w:rPr>
        <w:t xml:space="preserv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secondary school that is eligible for, but does not receive, Title I, Part A funds and is identified by the State educational agency (SEA) under paragraph (a)(2) of the definition of "persistently lowest achieving schools."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 secondary school that is eligible for Title I, Part A funds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(1)(i) Has not made adequate yearly progress for at least two consecutive years;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Is in the State's lowest quintile of performance based on proficiency rates on the State's assessments under section 1111(b)(3) of the Elementary and Secondary Education Act of 1965, as amended (ESEA), in reading/language arts and mathematics combined;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(2)(i) Is no higher achieving than the highest-achieving school identified by the SEA under paragraph (a)(2)(i) of the definition of "persistently lowest achieving school;" 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Is a high school that has had a graduation rate, as defined in </w:t>
      </w:r>
      <w:hyperlink r:id="rId17" w:history="1">
        <w:r>
          <w:rPr>
            <w:rFonts w:ascii="arial" w:eastAsia="arial" w:hAnsi="arial" w:cs="arial"/>
            <w:b w:val="0"/>
            <w:i/>
            <w:strike w:val="0"/>
            <w:noProof w:val="0"/>
            <w:color w:val="0077CC"/>
            <w:position w:val="0"/>
            <w:sz w:val="20"/>
            <w:u w:val="single"/>
            <w:vertAlign w:val="baseline"/>
          </w:rPr>
          <w:t>34 CFR 200.19(b)</w:t>
        </w:r>
      </w:hyperlink>
      <w:r>
        <w:rPr>
          <w:rFonts w:ascii="arial" w:eastAsia="arial" w:hAnsi="arial" w:cs="arial"/>
          <w:b w:val="0"/>
          <w:i w:val="0"/>
          <w:strike w:val="0"/>
          <w:noProof w:val="0"/>
          <w:color w:val="000000"/>
          <w:position w:val="0"/>
          <w:sz w:val="20"/>
          <w:u w:val="none"/>
          <w:vertAlign w:val="baseline"/>
        </w:rPr>
        <w:t>, that is less than 60 percent over a number of years. (Supplemental Priorities)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Quasi-experimental design study</w:t>
      </w:r>
      <w:r>
        <w:rPr>
          <w:rFonts w:ascii="arial" w:eastAsia="arial" w:hAnsi="arial" w:cs="arial"/>
          <w:b w:val="0"/>
          <w:i w:val="0"/>
          <w:strike w:val="0"/>
          <w:noProof w:val="0"/>
          <w:color w:val="000000"/>
          <w:position w:val="0"/>
          <w:sz w:val="20"/>
          <w:u w:val="none"/>
          <w:vertAlign w:val="baseline"/>
        </w:rPr>
        <w:t xml:space="preserve"> means a study using a design that attempts to approximate an experimental design by identifying a comparison group that is similar to the treatment group in important respects. These studies, depending on design and implementation, can meet What Works Clearinghouse Evidence Standards with reservations (but not What Works Clearinghouse Evidence Standards without reservations).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Works Clearinghouse Evidence Standards</w:t>
      </w:r>
      <w:r>
        <w:rPr>
          <w:rFonts w:ascii="arial" w:eastAsia="arial" w:hAnsi="arial" w:cs="arial"/>
          <w:b w:val="0"/>
          <w:i w:val="0"/>
          <w:strike w:val="0"/>
          <w:noProof w:val="0"/>
          <w:color w:val="000000"/>
          <w:position w:val="0"/>
          <w:sz w:val="20"/>
          <w:u w:val="none"/>
          <w:vertAlign w:val="baseline"/>
        </w:rPr>
        <w:t xml:space="preserve"> means the standards set forth in the What Works Clearinghouse Procedures and Standards Handbook (Version 3.0, March 2014), which can be found at the following link: </w:t>
      </w:r>
      <w:hyperlink r:id="rId18" w:history="1">
        <w:r>
          <w:rPr>
            <w:rFonts w:ascii="arial" w:eastAsia="arial" w:hAnsi="arial" w:cs="arial"/>
            <w:b w:val="0"/>
            <w:i/>
            <w:strike w:val="0"/>
            <w:noProof w:val="0"/>
            <w:color w:val="0077CC"/>
            <w:position w:val="0"/>
            <w:sz w:val="20"/>
            <w:u w:val="single"/>
            <w:vertAlign w:val="baseline"/>
          </w:rPr>
          <w:t>http://ies.ed.gov/ncee/wwc/DocumentSum.aspx?sid=19</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 L. 113-76</w:t>
      </w:r>
      <w:r>
        <w:rPr>
          <w:rFonts w:ascii="arial" w:eastAsia="arial" w:hAnsi="arial" w:cs="arial"/>
          <w:b w:val="0"/>
          <w:i w:val="0"/>
          <w:strike w:val="0"/>
          <w:noProof w:val="0"/>
          <w:color w:val="000000"/>
          <w:position w:val="0"/>
          <w:sz w:val="20"/>
          <w:u w:val="none"/>
          <w:vertAlign w:val="baseline"/>
        </w:rPr>
        <w:t>, Division H, Title III.</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and the Uniform Administrative Requirements, Cost Principles, and Audit Requirements for Federal Awards in 2 CFR part 200, as adopted and amended in 2 CFR part 3474. (c) the SEED NFP </w:t>
      </w:r>
      <w:hyperlink r:id="rId10" w:history="1">
        <w:r>
          <w:rPr>
            <w:rFonts w:ascii="arial" w:eastAsia="arial" w:hAnsi="arial" w:cs="arial"/>
            <w:b w:val="0"/>
            <w:i/>
            <w:strike w:val="0"/>
            <w:noProof w:val="0"/>
            <w:color w:val="0077CC"/>
            <w:position w:val="0"/>
            <w:sz w:val="20"/>
            <w:u w:val="single"/>
            <w:vertAlign w:val="baseline"/>
          </w:rPr>
          <w:t>(78 FR 9815),</w:t>
        </w:r>
      </w:hyperlink>
      <w:r>
        <w:rPr>
          <w:rFonts w:ascii="arial" w:eastAsia="arial" w:hAnsi="arial" w:cs="arial"/>
          <w:b w:val="0"/>
          <w:i w:val="0"/>
          <w:strike w:val="0"/>
          <w:noProof w:val="0"/>
          <w:color w:val="000000"/>
          <w:position w:val="0"/>
          <w:sz w:val="20"/>
          <w:u w:val="none"/>
          <w:vertAlign w:val="baseline"/>
        </w:rPr>
        <w:t xml:space="preserve"> and (d) the Supplemental Priorities </w:t>
      </w:r>
      <w:hyperlink r:id="rId11" w:history="1">
        <w:r>
          <w:rPr>
            <w:rFonts w:ascii="arial" w:eastAsia="arial" w:hAnsi="arial" w:cs="arial"/>
            <w:b w:val="0"/>
            <w:i/>
            <w:strike w:val="0"/>
            <w:noProof w:val="0"/>
            <w:color w:val="0077CC"/>
            <w:position w:val="0"/>
            <w:sz w:val="20"/>
            <w:u w:val="single"/>
            <w:vertAlign w:val="baseline"/>
          </w:rPr>
          <w:t>(79 FR 73425).</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86 apply to institutions of higher education only.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$ 24,125,169.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$ 3,000,000-$ 8,000,000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$ 5,000,000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3-6 awards.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36 months.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subsequent fiscal years, the Department may decide to extend SEED projects' evaluations beyond the 36 month project period, and provide additional funding, for the purposes of data collection, analysis, and reporting (</w:t>
      </w:r>
      <w:hyperlink r:id="rId19" w:history="1">
        <w:r>
          <w:rPr>
            <w:rFonts w:ascii="arial" w:eastAsia="arial" w:hAnsi="arial" w:cs="arial"/>
            <w:b w:val="0"/>
            <w:i/>
            <w:strike w:val="0"/>
            <w:noProof w:val="0"/>
            <w:color w:val="0077CC"/>
            <w:position w:val="0"/>
            <w:sz w:val="20"/>
            <w:u w:val="single"/>
            <w:vertAlign w:val="baseline"/>
          </w:rPr>
          <w:t>34 CFR 75.250(b)</w:t>
        </w:r>
      </w:hyperlink>
      <w:r>
        <w:rPr>
          <w:rFonts w:ascii="arial" w:eastAsia="arial" w:hAnsi="arial" w:cs="arial"/>
          <w:b w:val="0"/>
          <w:i w:val="0"/>
          <w:strike w:val="0"/>
          <w:noProof w:val="0"/>
          <w:color w:val="000000"/>
          <w:position w:val="0"/>
          <w:sz w:val="20"/>
          <w:u w:val="none"/>
          <w:vertAlign w:val="baseline"/>
        </w:rPr>
        <w:t>). This flexibility is not guaranteed and is contingent on available funding in subsequent fiscal years. The Department has discretion in deciding which, if any, SEED projects will receive additional time and funding for the purposes of data collection, analysis, and reporting.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As established in the SEED NFP </w:t>
      </w:r>
      <w:hyperlink r:id="rId10" w:history="1">
        <w:r>
          <w:rPr>
            <w:rFonts w:ascii="arial" w:eastAsia="arial" w:hAnsi="arial" w:cs="arial"/>
            <w:b w:val="0"/>
            <w:i/>
            <w:strike w:val="0"/>
            <w:noProof w:val="0"/>
            <w:color w:val="0077CC"/>
            <w:position w:val="0"/>
            <w:sz w:val="20"/>
            <w:u w:val="single"/>
            <w:vertAlign w:val="baseline"/>
          </w:rPr>
          <w:t>(78 FR 9815),</w:t>
        </w:r>
      </w:hyperlink>
      <w:r>
        <w:rPr>
          <w:rFonts w:ascii="arial" w:eastAsia="arial" w:hAnsi="arial" w:cs="arial"/>
          <w:b w:val="0"/>
          <w:i w:val="0"/>
          <w:strike w:val="0"/>
          <w:noProof w:val="0"/>
          <w:color w:val="000000"/>
          <w:position w:val="0"/>
          <w:sz w:val="20"/>
          <w:u w:val="none"/>
          <w:vertAlign w:val="baseline"/>
        </w:rPr>
        <w:t xml:space="preserve"> to be eligible for a SEED program grant, an entity must be a National Not-for-profit Organization. Each applicant must provide in its application documentation that it is a National Not-for-Profit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program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Evidence Standards:</w:t>
      </w:r>
      <w:r>
        <w:rPr>
          <w:rFonts w:ascii="arial" w:eastAsia="arial" w:hAnsi="arial" w:cs="arial"/>
          <w:b w:val="0"/>
          <w:i w:val="0"/>
          <w:strike w:val="0"/>
          <w:noProof w:val="0"/>
          <w:color w:val="000000"/>
          <w:position w:val="0"/>
          <w:sz w:val="20"/>
          <w:u w:val="none"/>
          <w:vertAlign w:val="baseline"/>
        </w:rPr>
        <w:t xml:space="preserve"> To meet </w:t>
      </w:r>
      <w:r>
        <w:rPr>
          <w:rFonts w:ascii="arial" w:eastAsia="arial" w:hAnsi="arial" w:cs="arial"/>
          <w:b w:val="0"/>
          <w:i/>
          <w:strike w:val="0"/>
          <w:noProof w:val="0"/>
          <w:color w:val="000000"/>
          <w:position w:val="0"/>
          <w:sz w:val="20"/>
          <w:u w:val="none"/>
          <w:vertAlign w:val="baseline"/>
        </w:rPr>
        <w:t>Absolute Priority 1: Supporting Practices and Strategies for Which There Is Moderate Evidence of Effectiveness</w:t>
      </w:r>
      <w:r>
        <w:rPr>
          <w:rFonts w:ascii="arial" w:eastAsia="arial" w:hAnsi="arial" w:cs="arial"/>
          <w:b w:val="0"/>
          <w:i w:val="0"/>
          <w:strike w:val="0"/>
          <w:noProof w:val="0"/>
          <w:color w:val="000000"/>
          <w:position w:val="0"/>
          <w:sz w:val="20"/>
          <w:u w:val="none"/>
          <w:vertAlign w:val="baseline"/>
        </w:rPr>
        <w:t xml:space="preserve">, each applicant must provide in its application documentation that its proposed project is supported by at least Moderate Evidence of Effectiveness. All applicants must respond to Absolute Priority 1, and one or more of Absolute Priorities 2 through 4, in order to be eligible to receive funding. An applicant that also responds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 1: Supporting Practices and Strategies for Which There Is Strong Evidence of Effectiveness</w:t>
      </w:r>
      <w:r>
        <w:rPr>
          <w:rFonts w:ascii="arial" w:eastAsia="arial" w:hAnsi="arial" w:cs="arial"/>
          <w:b w:val="0"/>
          <w:i w:val="0"/>
          <w:strike w:val="0"/>
          <w:noProof w:val="0"/>
          <w:color w:val="000000"/>
          <w:position w:val="0"/>
          <w:sz w:val="20"/>
          <w:u w:val="none"/>
          <w:vertAlign w:val="baseline"/>
        </w:rPr>
        <w:t xml:space="preserve"> must provide documentation that its proposed project is supported by Strong Evidence of Effectiveness. An applicant must ensure that all evidence is available to the Department from publically available sources and provide links or references to, or copies of, the evidence in the application. If the Department determines that an applicant has provided insufficient evidence that its proposed project meets the definition of "Moderate Evidence of Effectiveness" or "Strong Evidence of Effectiveness," the applicant will not have an opportunity to provide additional evidence to support its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Evaluations:</w:t>
      </w:r>
      <w:r>
        <w:rPr>
          <w:rFonts w:ascii="arial" w:eastAsia="arial" w:hAnsi="arial" w:cs="arial"/>
          <w:b w:val="0"/>
          <w:i w:val="0"/>
          <w:strike w:val="0"/>
          <w:noProof w:val="0"/>
          <w:color w:val="000000"/>
          <w:position w:val="0"/>
          <w:sz w:val="20"/>
          <w:u w:val="none"/>
          <w:vertAlign w:val="baseline"/>
        </w:rPr>
        <w:t xml:space="preserve"> As established in the SEED NFP, an applicant receiving funds under this program must comply with the requirements of any evaluation of the program conducted by the Department. In addition, an applicant receiving funds under this program must make broadly available through 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peer-reviewed journals) or informal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newsletters) mechanisms, in print or electronically, the results of any evaluations it conducts of its funded activities.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Richard Wilson, U.S. Department of Education, 400 Maryland Avenue SW., Room 4W237, Washington, DC 20202-5960 or by email: </w:t>
      </w:r>
      <w:hyperlink r:id="rId20" w:history="1">
        <w:r>
          <w:rPr>
            <w:rFonts w:ascii="arial" w:eastAsia="arial" w:hAnsi="arial" w:cs="arial"/>
            <w:b w:val="0"/>
            <w:i/>
            <w:strike w:val="0"/>
            <w:noProof w:val="0"/>
            <w:color w:val="0077CC"/>
            <w:position w:val="0"/>
            <w:sz w:val="20"/>
            <w:u w:val="single"/>
            <w:vertAlign w:val="baseline"/>
          </w:rPr>
          <w:t>SEED@ed.gov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can obtain a copy of the application package </w:t>
      </w:r>
      <w:r>
        <w:rPr>
          <w:rFonts w:ascii="arial" w:eastAsia="arial" w:hAnsi="arial" w:cs="arial"/>
          <w:b/>
          <w:i w:val="0"/>
          <w:strike w:val="0"/>
          <w:noProof w:val="0"/>
          <w:color w:val="000000"/>
          <w:position w:val="0"/>
          <w:sz w:val="20"/>
          <w:u w:val="none"/>
          <w:vertAlign w:val="baseline"/>
        </w:rPr>
        <w:t> [*7428] </w:t>
      </w:r>
      <w:r>
        <w:rPr>
          <w:rFonts w:ascii="arial" w:eastAsia="arial" w:hAnsi="arial" w:cs="arial"/>
          <w:b w:val="0"/>
          <w:i w:val="0"/>
          <w:strike w:val="0"/>
          <w:noProof w:val="0"/>
          <w:color w:val="000000"/>
          <w:position w:val="0"/>
          <w:sz w:val="20"/>
          <w:u w:val="none"/>
          <w:vertAlign w:val="baseline"/>
        </w:rPr>
        <w:t xml:space="preserv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program contact person listed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Notice of Intent to Apply:</w:t>
      </w:r>
      <w:r>
        <w:rPr>
          <w:rFonts w:ascii="arial" w:eastAsia="arial" w:hAnsi="arial" w:cs="arial"/>
          <w:b w:val="0"/>
          <w:i w:val="0"/>
          <w:strike w:val="0"/>
          <w:noProof w:val="0"/>
          <w:color w:val="000000"/>
          <w:position w:val="0"/>
          <w:sz w:val="20"/>
          <w:u w:val="none"/>
          <w:vertAlign w:val="baseline"/>
        </w:rPr>
        <w:t xml:space="preserve"> March 12, 2015. The Department will be able to develop a more efficient process for reviewing grant applications if it has a better understanding of the number of entities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the Department strongly encourages each potential applicant to notify the Department by sending a short email message indicating the applicant's intent to submit an application for funding. The email need not include information regarding the content of the proposed application, only the applicant's intent to submit it. The Department requests that this email notification be sent to the SEED program inbox at: </w:t>
      </w:r>
      <w:hyperlink r:id="rId20" w:history="1">
        <w:r>
          <w:rPr>
            <w:rFonts w:ascii="arial" w:eastAsia="arial" w:hAnsi="arial" w:cs="arial"/>
            <w:b w:val="0"/>
            <w:i/>
            <w:strike w:val="0"/>
            <w:noProof w:val="0"/>
            <w:color w:val="0077CC"/>
            <w:position w:val="0"/>
            <w:sz w:val="20"/>
            <w:u w:val="single"/>
            <w:vertAlign w:val="baseline"/>
          </w:rPr>
          <w:t>SEED@ed.gov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Eligible entities that fail to provide this email notification may still apply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application narrative (Part III of the application) is where you, the applicant, address the selection criteria that reviewers use to evaluate your application. We suggest you limit the application narrative to the equivalent of no more than 50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application narrative, except for titles, headings, footnotes, quotations, references, captions,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a font that is either 12 point or larger or no smaller than 10 pitch (characters per inch).</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one of the following fonts: Times New Roman, Courier, Courier New, or Arial.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page limit does not apply to Part I, the cover sheet; Part II, the budget section, including the narrative budget justification; Part IV, the assurances and certifications; or the one-page abstract, the resumes, or letters of support. However, the page limit does apply to all of the application narrative section [Part III].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Proprietary Information:</w:t>
      </w:r>
      <w:r>
        <w:rPr>
          <w:rFonts w:ascii="arial" w:eastAsia="arial" w:hAnsi="arial" w:cs="arial"/>
          <w:b w:val="0"/>
          <w:i w:val="0"/>
          <w:strike w:val="0"/>
          <w:noProof w:val="0"/>
          <w:color w:val="000000"/>
          <w:position w:val="0"/>
          <w:sz w:val="20"/>
          <w:u w:val="none"/>
          <w:vertAlign w:val="baseline"/>
        </w:rPr>
        <w:t xml:space="preserve"> Given the types of projects that may be proposed in applications for the SEED program, an application may include business information that the applicant considers proprietary. The Department's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"business information" in </w:t>
      </w:r>
      <w:hyperlink r:id="rId21" w:history="1">
        <w:r>
          <w:rPr>
            <w:rFonts w:ascii="arial" w:eastAsia="arial" w:hAnsi="arial" w:cs="arial"/>
            <w:b w:val="0"/>
            <w:i/>
            <w:strike w:val="0"/>
            <w:noProof w:val="0"/>
            <w:color w:val="0077CC"/>
            <w:position w:val="0"/>
            <w:sz w:val="20"/>
            <w:u w:val="single"/>
            <w:vertAlign w:val="baseline"/>
          </w:rPr>
          <w:t>34 CFR 5.11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we plan to make successful applications available to the public, you may wish to request confidentiality of business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Executive Order 12600, please designate in your application any information that you feel is exempt from disclosure under Exemption 4 of the Freedom of Information Act. In the appropriate Appendix section of your application, under "Other Attachments Form," please list the page number or numbers on which we can find this information. For additional information please see </w:t>
      </w:r>
      <w:hyperlink r:id="rId21" w:history="1">
        <w:r>
          <w:rPr>
            <w:rFonts w:ascii="arial" w:eastAsia="arial" w:hAnsi="arial" w:cs="arial"/>
            <w:b w:val="0"/>
            <w:i/>
            <w:strike w:val="0"/>
            <w:noProof w:val="0"/>
            <w:color w:val="0077CC"/>
            <w:position w:val="0"/>
            <w:sz w:val="20"/>
            <w:u w:val="single"/>
            <w:vertAlign w:val="baseline"/>
          </w:rPr>
          <w:t>34 CFR 5.11(c)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February 10,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March 12,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Dates of Informational Webinars: The SEED program intends to hold webinars designed to provide technical assistance to interested applicants. Detailed information regarding these meetings will be provided on the SEED Web site at </w:t>
      </w:r>
      <w:hyperlink r:id="rId8" w:history="1">
        <w:r>
          <w:rPr>
            <w:rFonts w:ascii="arial" w:eastAsia="arial" w:hAnsi="arial" w:cs="arial"/>
            <w:b w:val="0"/>
            <w:i/>
            <w:strike w:val="0"/>
            <w:noProof w:val="0"/>
            <w:color w:val="0077CC"/>
            <w:position w:val="0"/>
            <w:sz w:val="20"/>
            <w:u w:val="single"/>
            <w:vertAlign w:val="baseline"/>
          </w:rPr>
          <w:t>http://www2.ed.gov/programs/edseed/index.html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April 13,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June 10,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Executive Order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2-5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are currently registered with SAM, you may not need to make any changes. However, please make certain that the TIN associated with your DUNS number is correct. Also note that you will need to update your registration annually. This may take three or more business days. </w:t>
      </w:r>
      <w:r>
        <w:rPr>
          <w:rFonts w:ascii="arial" w:eastAsia="arial" w:hAnsi="arial" w:cs="arial"/>
          <w:b/>
          <w:i w:val="0"/>
          <w:strike w:val="0"/>
          <w:noProof w:val="0"/>
          <w:color w:val="000000"/>
          <w:position w:val="0"/>
          <w:sz w:val="20"/>
          <w:u w:val="none"/>
          <w:vertAlign w:val="baseline"/>
        </w:rPr>
        <w:t> [*7429]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22"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23"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24"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SEED program, CFDA number 84.367D, must be submitted electronically using the Governmentwide Grants.gov Apply site at </w:t>
      </w:r>
      <w:hyperlink r:id="rId2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SEED program at </w:t>
      </w:r>
      <w:hyperlink r:id="rId2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84.367, not 84.367D).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6" w:history="1">
        <w:r>
          <w:rPr>
            <w:rFonts w:ascii="arial" w:eastAsia="arial" w:hAnsi="arial" w:cs="arial"/>
            <w:b w:val="0"/>
            <w:i/>
            <w:strike w:val="0"/>
            <w:noProof w:val="0"/>
            <w:color w:val="0077CC"/>
            <w:position w:val="0"/>
            <w:sz w:val="20"/>
            <w:u w:val="single"/>
            <w:vertAlign w:val="baseline"/>
          </w:rPr>
          <w:t>http://www.G5.gov</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Grants.gov system; </w:t>
      </w: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later than two weeks before the application deadline date (14 calendar days or, if the fourteenth calendar day before the application deadline date </w:t>
      </w:r>
      <w:r>
        <w:rPr>
          <w:rFonts w:ascii="arial" w:eastAsia="arial" w:hAnsi="arial" w:cs="arial"/>
          <w:b/>
          <w:i w:val="0"/>
          <w:strike w:val="0"/>
          <w:noProof w:val="0"/>
          <w:color w:val="000000"/>
          <w:position w:val="0"/>
          <w:sz w:val="20"/>
          <w:u w:val="none"/>
          <w:vertAlign w:val="baseline"/>
        </w:rPr>
        <w:t> [*7430] </w:t>
      </w:r>
      <w:r>
        <w:rPr>
          <w:rFonts w:ascii="arial" w:eastAsia="arial" w:hAnsi="arial" w:cs="arial"/>
          <w:b w:val="0"/>
          <w:i w:val="0"/>
          <w:strike w:val="0"/>
          <w:noProof w:val="0"/>
          <w:color w:val="000000"/>
          <w:position w:val="0"/>
          <w:sz w:val="20"/>
          <w:u w:val="none"/>
          <w:vertAlign w:val="baseline"/>
        </w:rPr>
        <w:t xml:space="preserve"> falls on a Federal holiday, the next business day following the Federal holiday), you mail or fax a written statement to the Department, explaining which of the two grounds for an exception prevent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written statement to the Department, it must be postmarked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Richard Wilson, U.S. Department of Education, 400 Maryland Avenue SW., Room 4W237, Washington, DC 20202-5960.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FAX: (202) 401-8466.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84.367D),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84.367D),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the SEED NFP and from </w:t>
      </w:r>
      <w:hyperlink r:id="rId27"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and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maximum score for all the selection criteria is 100 points. The maximum score for each criterion is indicated in parentheses. Each criterion also includes the factors that reviewers will consider in determining the extent to which an applicant meets the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addressing each criterion, applicants are encouraged to make explicit connections to relevant aspects of responses to other selection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Significance</w:t>
      </w:r>
      <w:r>
        <w:rPr>
          <w:rFonts w:ascii="arial" w:eastAsia="arial" w:hAnsi="arial" w:cs="arial"/>
          <w:b w:val="0"/>
          <w:i w:val="0"/>
          <w:strike w:val="0"/>
          <w:noProof w:val="0"/>
          <w:color w:val="000000"/>
          <w:position w:val="0"/>
          <w:sz w:val="20"/>
          <w:u w:val="none"/>
          <w:vertAlign w:val="baseline"/>
        </w:rPr>
        <w:t xml:space="preserve"> (10 points). The Secretary considers the significance of the proposed project. In determining the significance of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significance of the proposed project on a National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potential contribution of the proposed project to the development and advancement of teacher and school leadership theory, knowledge, and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importance or magnitude of the results or outcomes likely to be attained by the proposed project, especially improvements in teaching and student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Quality of the Project Design and Services</w:t>
      </w:r>
      <w:r>
        <w:rPr>
          <w:rFonts w:ascii="arial" w:eastAsia="arial" w:hAnsi="arial" w:cs="arial"/>
          <w:b w:val="0"/>
          <w:i w:val="0"/>
          <w:strike w:val="0"/>
          <w:noProof w:val="0"/>
          <w:color w:val="000000"/>
          <w:position w:val="0"/>
          <w:sz w:val="20"/>
          <w:u w:val="none"/>
          <w:vertAlign w:val="baseline"/>
        </w:rPr>
        <w:t xml:space="preserve"> (35 points). The Secretary considers the quality of the design and services of the proposed project. In determining the quality of the design and services of the proposed project,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goals, objectives, and outcomes to be achieved by the proposed project are clearly specified, aligned, and measurable.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proposed project is part of a comprehensive effort to improve teaching and learning and support rigorous academic standards for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training or professional development services to be provided by the proposed project will be of sufficient quality, intensity, and duration to lead to improvements in practice among the recipients of those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proposed project will prepare personnel for fields in which shortages have been demonstrated.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extent to which the proposed project will focus on serving or otherwise addressing the needs of disadvantaged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Quality of the Management Plan and Personnel</w:t>
      </w:r>
      <w:r>
        <w:rPr>
          <w:rFonts w:ascii="arial" w:eastAsia="arial" w:hAnsi="arial" w:cs="arial"/>
          <w:b w:val="0"/>
          <w:i w:val="0"/>
          <w:strike w:val="0"/>
          <w:noProof w:val="0"/>
          <w:color w:val="000000"/>
          <w:position w:val="0"/>
          <w:sz w:val="20"/>
          <w:u w:val="none"/>
          <w:vertAlign w:val="baseline"/>
        </w:rPr>
        <w:t xml:space="preserve"> (20 points). The Secretary considers the quality of the management plan for the proposed project and of the personnel who will carry out the proposed project. In determining the quality of the management plan and the project personnel,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qualifications, including relevant training and experience, of the project director, key project personnel, and project consultants or subcontractors.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adequacy of the management plan to achieve the objectives of the proposed project on time and within budget, including clearly defined responsibilities, timelines, and milestones for accomplishing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proposed management plan includes sufficient and reasonable resources to effectively carry out the proposed project, including the project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Sustainability</w:t>
      </w:r>
      <w:r>
        <w:rPr>
          <w:rFonts w:ascii="arial" w:eastAsia="arial" w:hAnsi="arial" w:cs="arial"/>
          <w:b w:val="0"/>
          <w:i w:val="0"/>
          <w:strike w:val="0"/>
          <w:noProof w:val="0"/>
          <w:color w:val="000000"/>
          <w:position w:val="0"/>
          <w:sz w:val="20"/>
          <w:u w:val="none"/>
          <w:vertAlign w:val="baseline"/>
        </w:rPr>
        <w:t xml:space="preserve"> (15 points). The Secretary considers the adequacy of resources to continue the proposed project after the grant period ends. In determining the adequacy of resources and the potential for utility of the proposed project's activities and products by other organizations,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The extent to which the proposed project is designed to build capacity and </w:t>
      </w:r>
      <w:r>
        <w:rPr>
          <w:rFonts w:ascii="arial" w:eastAsia="arial" w:hAnsi="arial" w:cs="arial"/>
          <w:b/>
          <w:i w:val="0"/>
          <w:strike w:val="0"/>
          <w:noProof w:val="0"/>
          <w:color w:val="000000"/>
          <w:position w:val="0"/>
          <w:sz w:val="20"/>
          <w:u w:val="none"/>
          <w:vertAlign w:val="baseline"/>
        </w:rPr>
        <w:t> [*7431] </w:t>
      </w:r>
      <w:r>
        <w:rPr>
          <w:rFonts w:ascii="arial" w:eastAsia="arial" w:hAnsi="arial" w:cs="arial"/>
          <w:b w:val="0"/>
          <w:i w:val="0"/>
          <w:strike w:val="0"/>
          <w:noProof w:val="0"/>
          <w:color w:val="000000"/>
          <w:position w:val="0"/>
          <w:sz w:val="20"/>
          <w:u w:val="none"/>
          <w:vertAlign w:val="baseline"/>
        </w:rPr>
        <w:t xml:space="preserve"> yield results that will extend beyond the period of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proposed project is likely to yield findings and products (such as information, materials, processes, or techniques) that may be used by other agencies and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applicant will disseminate information about results and outcomes of the proposed project in ways that will enable others, including the public, to use the information or strategies.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strike w:val="0"/>
          <w:noProof w:val="0"/>
          <w:color w:val="000000"/>
          <w:position w:val="0"/>
          <w:sz w:val="20"/>
          <w:u w:val="none"/>
          <w:vertAlign w:val="baseline"/>
        </w:rPr>
        <w:t>Quality of the Project Evaluation</w:t>
      </w:r>
      <w:r>
        <w:rPr>
          <w:rFonts w:ascii="arial" w:eastAsia="arial" w:hAnsi="arial" w:cs="arial"/>
          <w:b w:val="0"/>
          <w:i w:val="0"/>
          <w:strike w:val="0"/>
          <w:noProof w:val="0"/>
          <w:color w:val="000000"/>
          <w:position w:val="0"/>
          <w:sz w:val="20"/>
          <w:u w:val="none"/>
          <w:vertAlign w:val="baseline"/>
        </w:rPr>
        <w:t xml:space="preserve"> (20 points). The Secretary considers the quality of the evaluation to be conducted of the proposed project. In determining the quality of the evaluation, the Secretary considers: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extent to which the methods of evaluation are thorough, feasible, and appropriate to the goals, objectives, and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extent to which the evaluation includes the use of objective performance measures that are clearly related to the intended outcomes of the project and will produce quantitative and qualitative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extent to which the evaluation will provide performance feedback and permit periodic assessment of progress toward achieving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extent to which the methods of evaluation will, if well-implemented, produce evidence about the project's effectiveness that would meet What Works Clearinghouse Evidence Standards without reservations.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We encourage applicants to review the following technical assistance resources on evaluation: (1) WWC Procedures and Standards Handbook: </w:t>
      </w:r>
      <w:hyperlink r:id="rId28" w:history="1">
        <w:r>
          <w:rPr>
            <w:rFonts w:ascii="arial" w:eastAsia="arial" w:hAnsi="arial" w:cs="arial"/>
            <w:b w:val="0"/>
            <w:i/>
            <w:strike w:val="0"/>
            <w:noProof w:val="0"/>
            <w:color w:val="0077CC"/>
            <w:position w:val="0"/>
            <w:sz w:val="20"/>
            <w:u w:val="single"/>
            <w:vertAlign w:val="baseline"/>
          </w:rPr>
          <w:t>http://ies.ed.gov/ncee/wwc/references/idocviewer/doc.aspx?docid=19&amp;tocid=1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(2) IES/NCEE Technical Methods papers: </w:t>
      </w:r>
      <w:hyperlink r:id="rId29" w:history="1">
        <w:r>
          <w:rPr>
            <w:rFonts w:ascii="arial" w:eastAsia="arial" w:hAnsi="arial" w:cs="arial"/>
            <w:b w:val="0"/>
            <w:i/>
            <w:strike w:val="0"/>
            <w:noProof w:val="0"/>
            <w:color w:val="0077CC"/>
            <w:position w:val="0"/>
            <w:sz w:val="20"/>
            <w:u w:val="single"/>
            <w:vertAlign w:val="baseline"/>
          </w:rPr>
          <w:t>http://ies.ed.gov/ncee/tech_methods/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we encourage applicants to participate in an optional Webinar hosted by the Institute of Education Sciences on March 6, 2015. This Webinar will discuss strategies for designing and executing well-designed Quasi-experimental Design Studies. Applicants interested in participating in this Webinar may find more information at the following Web site: </w:t>
      </w:r>
      <w:hyperlink r:id="rId30" w:history="1">
        <w:r>
          <w:rPr>
            <w:rFonts w:ascii="arial" w:eastAsia="arial" w:hAnsi="arial" w:cs="arial"/>
            <w:b w:val="0"/>
            <w:i/>
            <w:strike w:val="0"/>
            <w:noProof w:val="0"/>
            <w:color w:val="0077CC"/>
            <w:position w:val="0"/>
            <w:sz w:val="20"/>
            <w:u w:val="single"/>
            <w:vertAlign w:val="baseline"/>
          </w:rPr>
          <w:t>http://ies.ed.gov/ncee/wwc/event.aspx?sid=37</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Secretary may consider, under </w:t>
      </w:r>
      <w:hyperlink r:id="rId31" w:history="1">
        <w:r>
          <w:rPr>
            <w:rFonts w:ascii="arial" w:eastAsia="arial" w:hAnsi="arial" w:cs="arial"/>
            <w:b w:val="0"/>
            <w:i/>
            <w:strike w:val="0"/>
            <w:noProof w:val="0"/>
            <w:color w:val="0077CC"/>
            <w:position w:val="0"/>
            <w:sz w:val="20"/>
            <w:u w:val="single"/>
            <w:vertAlign w:val="baseline"/>
          </w:rPr>
          <w:t>34 CFR 75.217(d)(3)</w:t>
        </w:r>
      </w:hyperlink>
      <w:r>
        <w:rPr>
          <w:rFonts w:ascii="arial" w:eastAsia="arial" w:hAnsi="arial" w:cs="arial"/>
          <w:b w:val="0"/>
          <w:i w:val="0"/>
          <w:strike w:val="0"/>
          <w:noProof w:val="0"/>
          <w:color w:val="000000"/>
          <w:position w:val="0"/>
          <w:sz w:val="20"/>
          <w:u w:val="none"/>
          <w:vertAlign w:val="baseline"/>
        </w:rPr>
        <w:t>,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w:t>
      </w:r>
      <w:hyperlink r:id="rId32"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current </w:t>
      </w:r>
      <w:hyperlink r:id="rId37" w:history="1">
        <w:r>
          <w:rPr>
            <w:rFonts w:ascii="arial" w:eastAsia="arial" w:hAnsi="arial" w:cs="arial"/>
            <w:b w:val="0"/>
            <w:i/>
            <w:strike w:val="0"/>
            <w:noProof w:val="0"/>
            <w:color w:val="0077CC"/>
            <w:position w:val="0"/>
            <w:sz w:val="20"/>
            <w:u w:val="single"/>
            <w:vertAlign w:val="baseline"/>
          </w:rPr>
          <w:t>2 CFR 3474.10</w:t>
        </w:r>
      </w:hyperlink>
      <w:r>
        <w:rPr>
          <w:rFonts w:ascii="arial" w:eastAsia="arial" w:hAnsi="arial" w:cs="arial"/>
          <w:b w:val="0"/>
          <w:i w:val="0"/>
          <w:strike w:val="0"/>
          <w:noProof w:val="0"/>
          <w:color w:val="000000"/>
          <w:position w:val="0"/>
          <w:sz w:val="20"/>
          <w:u w:val="none"/>
          <w:vertAlign w:val="baseline"/>
        </w:rPr>
        <w:t>,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does not apply if you have an exception under </w:t>
      </w:r>
      <w:hyperlink r:id="rId38" w:history="1">
        <w:r>
          <w:rPr>
            <w:rFonts w:ascii="arial" w:eastAsia="arial" w:hAnsi="arial" w:cs="arial"/>
            <w:b w:val="0"/>
            <w:i/>
            <w:strike w:val="0"/>
            <w:noProof w:val="0"/>
            <w:color w:val="0077CC"/>
            <w:position w:val="0"/>
            <w:sz w:val="20"/>
            <w:u w:val="single"/>
            <w:vertAlign w:val="baseline"/>
          </w:rPr>
          <w:t>2 CFR 170.110(b)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w:t>
      </w:r>
      <w:hyperlink r:id="rId39" w:history="1">
        <w:r>
          <w:rPr>
            <w:rFonts w:ascii="arial" w:eastAsia="arial" w:hAnsi="arial" w:cs="arial"/>
            <w:b w:val="0"/>
            <w:i/>
            <w:strike w:val="0"/>
            <w:noProof w:val="0"/>
            <w:color w:val="0077CC"/>
            <w:position w:val="0"/>
            <w:sz w:val="20"/>
            <w:u w:val="single"/>
            <w:vertAlign w:val="baseline"/>
          </w:rPr>
          <w:t>34 CFR 75.118</w:t>
        </w:r>
      </w:hyperlink>
      <w:r>
        <w:rPr>
          <w:rFonts w:ascii="arial" w:eastAsia="arial" w:hAnsi="arial" w:cs="arial"/>
          <w:b w:val="0"/>
          <w:i w:val="0"/>
          <w:strike w:val="0"/>
          <w:noProof w:val="0"/>
          <w:color w:val="000000"/>
          <w:position w:val="0"/>
          <w:sz w:val="20"/>
          <w:u w:val="none"/>
          <w:vertAlign w:val="baseline"/>
        </w:rPr>
        <w:t xml:space="preserve">. The Secretary may also require more frequent performance reports under </w:t>
      </w:r>
      <w:hyperlink r:id="rId40" w:history="1">
        <w:r>
          <w:rPr>
            <w:rFonts w:ascii="arial" w:eastAsia="arial" w:hAnsi="arial" w:cs="arial"/>
            <w:b w:val="0"/>
            <w:i/>
            <w:strike w:val="0"/>
            <w:noProof w:val="0"/>
            <w:color w:val="0077CC"/>
            <w:position w:val="0"/>
            <w:sz w:val="20"/>
            <w:u w:val="single"/>
            <w:vertAlign w:val="baseline"/>
          </w:rPr>
          <w:t>34 CFR 75.720(c)</w:t>
        </w:r>
      </w:hyperlink>
      <w:r>
        <w:rPr>
          <w:rFonts w:ascii="arial" w:eastAsia="arial" w:hAnsi="arial" w:cs="arial"/>
          <w:b w:val="0"/>
          <w:i w:val="0"/>
          <w:strike w:val="0"/>
          <w:noProof w:val="0"/>
          <w:color w:val="000000"/>
          <w:position w:val="0"/>
          <w:sz w:val="20"/>
          <w:u w:val="none"/>
          <w:vertAlign w:val="baseline"/>
        </w:rPr>
        <w:t xml:space="preserve">. For specific requirements on reporting, please go to </w:t>
      </w:r>
      <w:hyperlink r:id="rId41"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The overall purpose of the SEED program is to support projects by national not-for-profit organizations (as defined in this notice) that are supported by at least moderate evidence of effectiveness (as defined in this notice) to recruit, select, and prepare or provide professional enhancement activities for teachers, principals, or both. We have established the following performance measures for the SEED program: (a) The percentage of teacher and principal participants who serve concentrations of High-need Students; (b) the percentage of participants who serve concentrations of High-need Students and are Highly Effective; (c) the percentage of participants who serve concentrations of High-need Students, are Highly Effective, and serve for at least two years; and (d) the cost per such participant. Grantees will report annually on each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Continuation Awards:</w:t>
      </w:r>
      <w:r>
        <w:rPr>
          <w:rFonts w:ascii="arial" w:eastAsia="arial" w:hAnsi="arial" w:cs="arial"/>
          <w:b w:val="0"/>
          <w:i w:val="0"/>
          <w:strike w:val="0"/>
          <w:noProof w:val="0"/>
          <w:color w:val="000000"/>
          <w:position w:val="0"/>
          <w:sz w:val="20"/>
          <w:u w:val="none"/>
          <w:vertAlign w:val="baseline"/>
        </w:rPr>
        <w:t xml:space="preserve"> In making a continuation award under </w:t>
      </w:r>
      <w:hyperlink r:id="rId42" w:history="1">
        <w:r>
          <w:rPr>
            <w:rFonts w:ascii="arial" w:eastAsia="arial" w:hAnsi="arial" w:cs="arial"/>
            <w:b w:val="0"/>
            <w:i/>
            <w:strike w:val="0"/>
            <w:noProof w:val="0"/>
            <w:color w:val="0077CC"/>
            <w:position w:val="0"/>
            <w:sz w:val="20"/>
            <w:u w:val="single"/>
            <w:vertAlign w:val="baseline"/>
          </w:rPr>
          <w:t>34 CFR 75.253</w:t>
        </w:r>
      </w:hyperlink>
      <w:r>
        <w:rPr>
          <w:rFonts w:ascii="arial" w:eastAsia="arial" w:hAnsi="arial" w:cs="arial"/>
          <w:b w:val="0"/>
          <w:i w:val="0"/>
          <w:strike w:val="0"/>
          <w:noProof w:val="0"/>
          <w:color w:val="000000"/>
          <w:position w:val="0"/>
          <w:sz w:val="20"/>
          <w:u w:val="none"/>
          <w:vertAlign w:val="baseline"/>
        </w:rPr>
        <w:t>, the Secretary considers, among other things: whether a grantee has made substantial progress in achieving the goals and objectives of the project; whether the grantee has expended funds in a manner that is consistent with its approved application and budget; and, if the Secretary has established performance measurement requirements, the performance targets in the grantee's approved application. In making a continuation grant, the Secretary also considers whether the grantee is operating in compliance with the assurances in its approved application, including those applicable to Federal civil rights laws that prohibit discrimination in programs or activities receiving Federal financial assistance from the Department (</w:t>
      </w:r>
      <w:hyperlink r:id="rId32" w:history="1">
        <w:r>
          <w:rPr>
            <w:rFonts w:ascii="arial" w:eastAsia="arial" w:hAnsi="arial" w:cs="arial"/>
            <w:b w:val="0"/>
            <w:i/>
            <w:strike w:val="0"/>
            <w:noProof w:val="0"/>
            <w:color w:val="0077CC"/>
            <w:position w:val="0"/>
            <w:sz w:val="20"/>
            <w:u w:val="single"/>
            <w:vertAlign w:val="baseline"/>
          </w:rPr>
          <w:t>34 CFR 100.4</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104.5</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106.4</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108.8</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110.23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Richard Wilson, U.S. Department of Education, 400 Maryland Avenue SW., Room 4W237, Washington, DC 20202-5960. Telephone: (202) 453-6709, or by email: </w:t>
      </w:r>
      <w:hyperlink r:id="rId20" w:history="1">
        <w:r>
          <w:rPr>
            <w:rFonts w:ascii="arial" w:eastAsia="arial" w:hAnsi="arial" w:cs="arial"/>
            <w:b w:val="0"/>
            <w:i/>
            <w:strike w:val="0"/>
            <w:noProof w:val="0"/>
            <w:color w:val="0077CC"/>
            <w:position w:val="0"/>
            <w:sz w:val="20"/>
            <w:u w:val="single"/>
            <w:vertAlign w:val="baseline"/>
          </w:rPr>
          <w:t>SEED@ed.gov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TDD or TTY, call the FRS, toll 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w:t>
      </w:r>
      <w:r>
        <w:rPr>
          <w:rFonts w:ascii="arial" w:eastAsia="arial" w:hAnsi="arial" w:cs="arial"/>
          <w:b/>
          <w:i w:val="0"/>
          <w:strike w:val="0"/>
          <w:noProof w:val="0"/>
          <w:color w:val="000000"/>
          <w:position w:val="0"/>
          <w:sz w:val="20"/>
          <w:u w:val="none"/>
          <w:vertAlign w:val="baseline"/>
        </w:rPr>
        <w:t> [*7432] </w:t>
      </w:r>
      <w:r>
        <w:rPr>
          <w:rFonts w:ascii="arial" w:eastAsia="arial" w:hAnsi="arial" w:cs="arial"/>
          <w:b w:val="0"/>
          <w:i w:val="0"/>
          <w:strike w:val="0"/>
          <w:noProof w:val="0"/>
          <w:color w:val="000000"/>
          <w:position w:val="0"/>
          <w:sz w:val="20"/>
          <w:u w:val="none"/>
          <w:vertAlign w:val="baseline"/>
        </w:rPr>
        <w:t xml:space="preserve">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43"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44"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February 5,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Nadya Chinoy Dabby,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Deputy Secretary for Innovation and Improvement.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2015-02710 Filed 2-9-15;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7423</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7R6-6DC0-006W-82W3-00000-00&amp;context=" TargetMode="External" /><Relationship Id="rId11" Type="http://schemas.openxmlformats.org/officeDocument/2006/relationships/hyperlink" Target="https://advance.lexis.com/api/document?collection=administrative-codes&amp;id=urn:contentItem:5DT7-0130-006W-81YP-00000-00&amp;context=" TargetMode="External" /><Relationship Id="rId12" Type="http://schemas.openxmlformats.org/officeDocument/2006/relationships/hyperlink" Target="https://advance.lexis.com/api/document?collection=administrative-codes&amp;id=urn:contentItem:5GMB-DPB0-008H-02BK-00000-00&amp;context=" TargetMode="External" /><Relationship Id="rId13" Type="http://schemas.openxmlformats.org/officeDocument/2006/relationships/hyperlink" Target="https://advance.lexis.com/api/document?collection=administrative-codes&amp;id=urn:contentItem:5S7T-7HV0-008H-03HM-00000-00&amp;context=" TargetMode="External" /><Relationship Id="rId14" Type="http://schemas.openxmlformats.org/officeDocument/2006/relationships/hyperlink" Target="http://ies.ed.gov/ncee/wwc/Publications_Reviews.aspx?f=All%20Publication%20and%20Review%20Types,5" TargetMode="External" /><Relationship Id="rId15" Type="http://schemas.openxmlformats.org/officeDocument/2006/relationships/hyperlink" Target="http://ies.ed.gov/ncee/wwc/documentsum.aspx?sid=234" TargetMode="External" /><Relationship Id="rId16" Type="http://schemas.openxmlformats.org/officeDocument/2006/relationships/hyperlink" Target="http://ies.ed.gov/ncee/wwc/documentsum.aspx?sid=242" TargetMode="External" /><Relationship Id="rId17" Type="http://schemas.openxmlformats.org/officeDocument/2006/relationships/hyperlink" Target="https://advance.lexis.com/api/document?collection=administrative-codes&amp;id=urn:contentItem:5P25-NG20-008H-02V3-00000-00&amp;context=" TargetMode="External" /><Relationship Id="rId18" Type="http://schemas.openxmlformats.org/officeDocument/2006/relationships/hyperlink" Target="http://ies.ed.gov/ncee/wwc/DocumentSum.aspx?sid=19" TargetMode="External" /><Relationship Id="rId19" Type="http://schemas.openxmlformats.org/officeDocument/2006/relationships/hyperlink" Target="https://advance.lexis.com/api/document?collection=administrative-codes&amp;id=urn:contentItem:5GMB-DPB0-008H-0272-00000-00&amp;context=" TargetMode="External" /><Relationship Id="rId2" Type="http://schemas.openxmlformats.org/officeDocument/2006/relationships/webSettings" Target="webSettings.xml" /><Relationship Id="rId20" Type="http://schemas.openxmlformats.org/officeDocument/2006/relationships/hyperlink" Target="mailto:SEED@ed.gov" TargetMode="External" /><Relationship Id="rId21" Type="http://schemas.openxmlformats.org/officeDocument/2006/relationships/hyperlink" Target="https://advance.lexis.com/api/document?collection=administrative-codes&amp;id=urn:contentItem:5G9C-N1H0-008H-002J-00000-00&amp;context=" TargetMode="External" /><Relationship Id="rId22" Type="http://schemas.openxmlformats.org/officeDocument/2006/relationships/hyperlink" Target="www.SAM.gov" TargetMode="External" /><Relationship Id="rId23" Type="http://schemas.openxmlformats.org/officeDocument/2006/relationships/hyperlink" Target="http://www2.ed.gov/fund/grant/apply/sam-faqs.html" TargetMode="External" /><Relationship Id="rId24" Type="http://schemas.openxmlformats.org/officeDocument/2006/relationships/hyperlink" Target="www.grants.gov/web/grants/register.html" TargetMode="External" /><Relationship Id="rId25" Type="http://schemas.openxmlformats.org/officeDocument/2006/relationships/hyperlink" Target="www.Grants.gov" TargetMode="External" /><Relationship Id="rId26" Type="http://schemas.openxmlformats.org/officeDocument/2006/relationships/hyperlink" Target="http://www.G5.gov" TargetMode="External" /><Relationship Id="rId27" Type="http://schemas.openxmlformats.org/officeDocument/2006/relationships/hyperlink" Target="https://advance.lexis.com/api/document?collection=administrative-codes&amp;id=urn:contentItem:5S7T-7HS0-008H-02VY-00000-00&amp;context=" TargetMode="External" /><Relationship Id="rId28" Type="http://schemas.openxmlformats.org/officeDocument/2006/relationships/hyperlink" Target="http://ies.ed.gov/ncee/wwc/references/idocviewer/doc.aspx?docid=19&amp;tocid=1" TargetMode="External" /><Relationship Id="rId29" Type="http://schemas.openxmlformats.org/officeDocument/2006/relationships/hyperlink" Target="http://ies.ed.gov/ncee/tech_methods/" TargetMode="External" /><Relationship Id="rId3" Type="http://schemas.openxmlformats.org/officeDocument/2006/relationships/fontTable" Target="fontTable.xml" /><Relationship Id="rId30" Type="http://schemas.openxmlformats.org/officeDocument/2006/relationships/hyperlink" Target="http://ies.ed.gov/ncee/wwc/event.aspx?sid=37" TargetMode="External" /><Relationship Id="rId31" Type="http://schemas.openxmlformats.org/officeDocument/2006/relationships/hyperlink" Target="https://advance.lexis.com/api/document?collection=administrative-codes&amp;id=urn:contentItem:5GMB-DPB0-008H-02GP-00000-00&amp;context=" TargetMode="External" /><Relationship Id="rId32" Type="http://schemas.openxmlformats.org/officeDocument/2006/relationships/hyperlink" Target="https://advance.lexis.com/api/document?collection=administrative-codes&amp;id=urn:contentItem:5KS0-F5W0-008H-023P-00000-00&amp;context=" TargetMode="External" /><Relationship Id="rId33" Type="http://schemas.openxmlformats.org/officeDocument/2006/relationships/hyperlink" Target="https://advance.lexis.com/api/document?collection=administrative-codes&amp;id=urn:contentItem:5R5H-J1H0-008H-043K-00000-00&amp;context=" TargetMode="External" /><Relationship Id="rId34" Type="http://schemas.openxmlformats.org/officeDocument/2006/relationships/hyperlink" Target="https://advance.lexis.com/api/document?collection=administrative-codes&amp;id=urn:contentItem:5KS0-F5W0-008H-024V-00000-00&amp;context=" TargetMode="External" /><Relationship Id="rId35" Type="http://schemas.openxmlformats.org/officeDocument/2006/relationships/hyperlink" Target="https://advance.lexis.com/api/document?collection=administrative-codes&amp;id=urn:contentItem:5KS0-F600-008H-02PT-00000-00&amp;context=" TargetMode="External" /><Relationship Id="rId36" Type="http://schemas.openxmlformats.org/officeDocument/2006/relationships/hyperlink" Target="https://advance.lexis.com/api/document?collection=administrative-codes&amp;id=urn:contentItem:5KS0-F5W0-008H-025B-00000-00&amp;context=" TargetMode="External" /><Relationship Id="rId37" Type="http://schemas.openxmlformats.org/officeDocument/2006/relationships/hyperlink" Target="https://advance.lexis.com/api/document?collection=administrative-codes&amp;id=urn:contentItem:5F34-Y1R0-008G-Y1F9-00000-00&amp;context=" TargetMode="External" /><Relationship Id="rId38" Type="http://schemas.openxmlformats.org/officeDocument/2006/relationships/hyperlink" Target="https://advance.lexis.com/api/document?collection=administrative-codes&amp;id=urn:contentItem:5F2R-48P0-008G-Y31V-00000-00&amp;context=" TargetMode="External" /><Relationship Id="rId39" Type="http://schemas.openxmlformats.org/officeDocument/2006/relationships/hyperlink" Target="https://advance.lexis.com/api/document?collection=administrative-codes&amp;id=urn:contentItem:5GMB-DPC0-008H-02S7-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GMB-DPC0-008H-02SK-00000-00&amp;context=" TargetMode="External" /><Relationship Id="rId41" Type="http://schemas.openxmlformats.org/officeDocument/2006/relationships/hyperlink" Target="www.ed.gov/fund/grant/apply/appforms/appforms.html" TargetMode="External" /><Relationship Id="rId42" Type="http://schemas.openxmlformats.org/officeDocument/2006/relationships/hyperlink" Target="https://advance.lexis.com/api/document?collection=administrative-codes&amp;id=urn:contentItem:5GMB-DPB0-008H-02K8-00000-00&amp;context=" TargetMode="External" /><Relationship Id="rId43" Type="http://schemas.openxmlformats.org/officeDocument/2006/relationships/hyperlink" Target="www.gpo.gov/fdsys" TargetMode="External" /><Relationship Id="rId44" Type="http://schemas.openxmlformats.org/officeDocument/2006/relationships/hyperlink" Target="www.federalregister.gov" TargetMode="External" /><Relationship Id="rId45" Type="http://schemas.openxmlformats.org/officeDocument/2006/relationships/numbering" Target="numbering.xml" /><Relationship Id="rId46"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8F-89V0-006W-82HC-00000-00&amp;context=" TargetMode="External" /><Relationship Id="rId8" Type="http://schemas.openxmlformats.org/officeDocument/2006/relationships/hyperlink" Target="http://www2.ed.gov/programs/edseed/index.html" TargetMode="External" /><Relationship Id="rId9" Type="http://schemas.openxmlformats.org/officeDocument/2006/relationships/hyperlink" Target="https://advance.lexis.com/api/document?collection=administrative-codes&amp;id=urn:contentItem:5P5K-6FW0-008H-034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9414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71557642</vt:lpwstr>
  </property>
  <property fmtid="{D5CDD505-2E9C-101B-9397-08002B2CF9AE}" pid="3" name="LADocCount">
    <vt:lpwstr>1</vt:lpwstr>
  </property>
  <property fmtid="{D5CDD505-2E9C-101B-9397-08002B2CF9AE}" pid="4" name="UserPermID">
    <vt:lpwstr>urn:user:PA185916758</vt:lpwstr>
  </property>
</Properties>
</file>